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5E261E" w14:textId="003CC88E" w:rsidR="00467BD7" w:rsidRPr="0072421D" w:rsidRDefault="00321E09" w:rsidP="00095AB1">
      <w:pPr>
        <w:spacing w:after="120"/>
        <w:rPr>
          <w:rFonts w:ascii="AvantGarde" w:hAnsi="AvantGarde"/>
          <w:b/>
          <w:i/>
          <w:sz w:val="36"/>
          <w:szCs w:val="36"/>
        </w:rPr>
      </w:pPr>
      <w:bookmarkStart w:id="0" w:name="_GoBack"/>
      <w:bookmarkEnd w:id="0"/>
      <w:r w:rsidRPr="002225A8">
        <w:rPr>
          <w:rFonts w:asciiTheme="minorHAnsi" w:hAnsiTheme="minorHAnsi"/>
          <w:b/>
          <w:sz w:val="36"/>
          <w:szCs w:val="36"/>
        </w:rPr>
        <w:t>20</w:t>
      </w:r>
      <w:r w:rsidR="00467BD7" w:rsidRPr="002225A8">
        <w:rPr>
          <w:rFonts w:asciiTheme="minorHAnsi" w:hAnsiTheme="minorHAnsi"/>
          <w:b/>
          <w:sz w:val="36"/>
          <w:szCs w:val="36"/>
        </w:rPr>
        <w:t>1</w:t>
      </w:r>
      <w:r w:rsidR="00095AB1">
        <w:rPr>
          <w:rFonts w:asciiTheme="minorHAnsi" w:hAnsiTheme="minorHAnsi"/>
          <w:b/>
          <w:sz w:val="36"/>
          <w:szCs w:val="36"/>
        </w:rPr>
        <w:t>7</w:t>
      </w:r>
      <w:r w:rsidR="007B05B9" w:rsidRPr="002225A8">
        <w:rPr>
          <w:rFonts w:asciiTheme="minorHAnsi" w:hAnsiTheme="minorHAnsi"/>
          <w:b/>
          <w:sz w:val="36"/>
          <w:szCs w:val="36"/>
        </w:rPr>
        <w:t xml:space="preserve"> </w:t>
      </w:r>
      <w:r w:rsidR="002225A8" w:rsidRPr="002225A8">
        <w:rPr>
          <w:b/>
          <w:sz w:val="36"/>
          <w:szCs w:val="36"/>
        </w:rPr>
        <w:t>Load Impact Evaluation of San Diego Gas and Electric’s Voluntary Residential Critical Peak Pricing (CPP) and Time-of-Use (TOU) Rates</w:t>
      </w:r>
    </w:p>
    <w:p w14:paraId="361B56DC" w14:textId="77777777" w:rsidR="00321E09" w:rsidRPr="0072421D" w:rsidRDefault="00321E09" w:rsidP="00095AB1">
      <w:pPr>
        <w:spacing w:after="120"/>
        <w:rPr>
          <w:rFonts w:ascii="AvantGarde" w:hAnsi="AvantGarde"/>
        </w:rPr>
      </w:pPr>
    </w:p>
    <w:p w14:paraId="51E00618" w14:textId="026E9325" w:rsidR="00321E09" w:rsidRDefault="005651D3" w:rsidP="00095AB1">
      <w:pPr>
        <w:spacing w:after="120"/>
        <w:rPr>
          <w:rFonts w:ascii="AvantGarde" w:hAnsi="AvantGarde"/>
          <w:b/>
          <w:sz w:val="28"/>
          <w:szCs w:val="28"/>
        </w:rPr>
      </w:pPr>
      <w:r w:rsidRPr="0072421D">
        <w:rPr>
          <w:rFonts w:ascii="AvantGarde" w:hAnsi="AvantGarde"/>
          <w:b/>
          <w:sz w:val="28"/>
          <w:szCs w:val="28"/>
        </w:rPr>
        <w:t xml:space="preserve">CALMAC Study ID </w:t>
      </w:r>
      <w:r w:rsidR="002225A8">
        <w:rPr>
          <w:rFonts w:ascii="AvantGarde" w:hAnsi="AvantGarde"/>
          <w:b/>
          <w:sz w:val="28"/>
          <w:szCs w:val="28"/>
        </w:rPr>
        <w:t>SD</w:t>
      </w:r>
      <w:r w:rsidR="00544584">
        <w:rPr>
          <w:rFonts w:ascii="AvantGarde" w:hAnsi="AvantGarde"/>
          <w:b/>
          <w:sz w:val="28"/>
          <w:szCs w:val="28"/>
        </w:rPr>
        <w:t>GE</w:t>
      </w:r>
      <w:r w:rsidR="00EF0A03">
        <w:rPr>
          <w:rFonts w:ascii="AvantGarde" w:hAnsi="AvantGarde"/>
          <w:b/>
          <w:sz w:val="28"/>
          <w:szCs w:val="28"/>
        </w:rPr>
        <w:t>0309</w:t>
      </w:r>
    </w:p>
    <w:p w14:paraId="1AE18634" w14:textId="77777777" w:rsidR="009133C2" w:rsidRDefault="009133C2" w:rsidP="00095AB1">
      <w:pPr>
        <w:spacing w:after="120"/>
        <w:rPr>
          <w:rFonts w:ascii="AvantGarde" w:hAnsi="AvantGarde"/>
          <w:b/>
          <w:sz w:val="28"/>
          <w:szCs w:val="28"/>
        </w:rPr>
      </w:pPr>
    </w:p>
    <w:p w14:paraId="097792F0" w14:textId="120134E0" w:rsidR="009133C2" w:rsidRDefault="00732D63" w:rsidP="00095AB1">
      <w:pPr>
        <w:spacing w:after="120"/>
        <w:rPr>
          <w:rFonts w:ascii="AvantGarde" w:hAnsi="AvantGarde"/>
          <w:b/>
          <w:sz w:val="28"/>
          <w:szCs w:val="28"/>
        </w:rPr>
      </w:pPr>
      <w:r>
        <w:rPr>
          <w:rFonts w:ascii="AvantGarde" w:hAnsi="AvantGarde"/>
          <w:b/>
          <w:sz w:val="28"/>
          <w:szCs w:val="28"/>
        </w:rPr>
        <w:t>CONFIDENTIAL</w:t>
      </w:r>
      <w:r w:rsidR="009133C2">
        <w:rPr>
          <w:rFonts w:ascii="AvantGarde" w:hAnsi="AvantGarde"/>
          <w:b/>
          <w:sz w:val="28"/>
          <w:szCs w:val="28"/>
        </w:rPr>
        <w:t xml:space="preserve"> pursuant to PU Code Section 583</w:t>
      </w:r>
    </w:p>
    <w:p w14:paraId="0A658816" w14:textId="77777777" w:rsidR="00321E09" w:rsidRPr="0072421D" w:rsidRDefault="00321E09" w:rsidP="00095AB1">
      <w:pPr>
        <w:spacing w:after="120"/>
        <w:rPr>
          <w:rFonts w:ascii="AvantGarde" w:hAnsi="AvantGarde"/>
        </w:rPr>
      </w:pPr>
    </w:p>
    <w:p w14:paraId="072EF394" w14:textId="7DF76B07" w:rsidR="009D0D73" w:rsidRDefault="00EF0A03" w:rsidP="00095AB1">
      <w:pPr>
        <w:spacing w:after="120"/>
        <w:rPr>
          <w:rFonts w:ascii="AvantGarde" w:hAnsi="AvantGarde"/>
          <w:lang w:val="nb-NO"/>
        </w:rPr>
      </w:pPr>
      <w:r>
        <w:rPr>
          <w:rFonts w:ascii="AvantGarde" w:hAnsi="AvantGarde"/>
          <w:lang w:val="nb-NO"/>
        </w:rPr>
        <w:t>Michael Ty Clark</w:t>
      </w:r>
    </w:p>
    <w:p w14:paraId="733F276A" w14:textId="77777777" w:rsidR="00B3464B" w:rsidRPr="0072421D" w:rsidRDefault="00B3464B" w:rsidP="00B3464B">
      <w:pPr>
        <w:spacing w:after="120"/>
        <w:rPr>
          <w:rFonts w:ascii="AvantGarde" w:hAnsi="AvantGarde"/>
          <w:lang w:val="nb-NO"/>
        </w:rPr>
      </w:pPr>
      <w:r>
        <w:rPr>
          <w:rFonts w:ascii="AvantGarde" w:hAnsi="AvantGarde"/>
          <w:lang w:val="nb-NO"/>
        </w:rPr>
        <w:t>Nick Crowley</w:t>
      </w:r>
    </w:p>
    <w:p w14:paraId="557EFB70" w14:textId="010A7E25" w:rsidR="007465DA" w:rsidRPr="00F70A28" w:rsidRDefault="007465DA" w:rsidP="007465DA">
      <w:pPr>
        <w:spacing w:after="120"/>
        <w:rPr>
          <w:rFonts w:ascii="AvantGarde" w:hAnsi="AvantGarde"/>
        </w:rPr>
      </w:pPr>
      <w:r>
        <w:rPr>
          <w:rFonts w:ascii="AvantGarde" w:hAnsi="AvantGarde"/>
        </w:rPr>
        <w:t>Daniel G. Hansen</w:t>
      </w:r>
    </w:p>
    <w:p w14:paraId="50DACA4A" w14:textId="77777777" w:rsidR="00321E09" w:rsidRPr="0072421D" w:rsidRDefault="00321E09" w:rsidP="00095AB1">
      <w:pPr>
        <w:spacing w:after="120"/>
        <w:rPr>
          <w:rFonts w:ascii="AvantGarde" w:hAnsi="AvantGarde"/>
        </w:rPr>
      </w:pPr>
    </w:p>
    <w:p w14:paraId="748F4814" w14:textId="26A188AB" w:rsidR="00321E09" w:rsidRPr="003601DE" w:rsidRDefault="007D0174" w:rsidP="00095AB1">
      <w:pPr>
        <w:spacing w:after="120"/>
        <w:rPr>
          <w:rFonts w:ascii="AvantGarde" w:hAnsi="AvantGarde"/>
          <w:i/>
        </w:rPr>
        <w:sectPr w:rsidR="00321E09" w:rsidRPr="003601DE" w:rsidSect="003601DE">
          <w:headerReference w:type="default" r:id="rId8"/>
          <w:footerReference w:type="even" r:id="rId9"/>
          <w:footerReference w:type="default" r:id="rId10"/>
          <w:pgSz w:w="12240" w:h="15840"/>
          <w:pgMar w:top="4863" w:right="432" w:bottom="2520" w:left="6754" w:header="2880" w:footer="1890" w:gutter="0"/>
          <w:pgNumType w:fmt="lowerRoman"/>
          <w:cols w:space="720"/>
          <w:docGrid w:linePitch="360"/>
        </w:sectPr>
      </w:pPr>
      <w:r>
        <w:rPr>
          <w:rFonts w:ascii="AvantGarde" w:hAnsi="AvantGarde"/>
          <w:i/>
        </w:rPr>
        <w:t>April 1</w:t>
      </w:r>
      <w:r w:rsidR="00EF2F8F">
        <w:rPr>
          <w:rFonts w:ascii="AvantGarde" w:hAnsi="AvantGarde"/>
          <w:i/>
        </w:rPr>
        <w:t>,</w:t>
      </w:r>
      <w:r w:rsidR="00EF0A03">
        <w:rPr>
          <w:rFonts w:ascii="AvantGarde" w:hAnsi="AvantGarde"/>
          <w:i/>
        </w:rPr>
        <w:t xml:space="preserve"> 2018</w:t>
      </w:r>
    </w:p>
    <w:p w14:paraId="37CD273E" w14:textId="77777777" w:rsidR="00321E09" w:rsidRPr="009D1511" w:rsidRDefault="00321E09" w:rsidP="00095AB1">
      <w:pPr>
        <w:pStyle w:val="TOC1"/>
        <w:spacing w:after="120"/>
      </w:pPr>
      <w:r w:rsidRPr="00A22636">
        <w:lastRenderedPageBreak/>
        <w:t>Table of Contents</w:t>
      </w:r>
    </w:p>
    <w:p w14:paraId="546758A7" w14:textId="77777777" w:rsidR="00321E09" w:rsidRDefault="00321E09" w:rsidP="00095AB1">
      <w:pPr>
        <w:pStyle w:val="TOC3"/>
        <w:spacing w:after="120"/>
      </w:pPr>
    </w:p>
    <w:p w14:paraId="22736F90" w14:textId="5A0A0293" w:rsidR="0026102E" w:rsidRDefault="00321E09">
      <w:pPr>
        <w:pStyle w:val="TOC1"/>
        <w:rPr>
          <w:rFonts w:asciiTheme="minorHAnsi" w:eastAsiaTheme="minorEastAsia" w:hAnsiTheme="minorHAnsi" w:cstheme="minorBidi"/>
          <w:b w:val="0"/>
          <w:noProof/>
          <w:sz w:val="22"/>
          <w:szCs w:val="22"/>
        </w:rPr>
      </w:pPr>
      <w:r w:rsidRPr="00421999">
        <w:rPr>
          <w:sz w:val="22"/>
          <w:szCs w:val="22"/>
        </w:rPr>
        <w:fldChar w:fldCharType="begin"/>
      </w:r>
      <w:r w:rsidRPr="00421999">
        <w:rPr>
          <w:sz w:val="22"/>
          <w:szCs w:val="22"/>
        </w:rPr>
        <w:instrText xml:space="preserve"> TOC \o "1-3" \h \z \u </w:instrText>
      </w:r>
      <w:r w:rsidRPr="00421999">
        <w:rPr>
          <w:sz w:val="22"/>
          <w:szCs w:val="22"/>
        </w:rPr>
        <w:fldChar w:fldCharType="separate"/>
      </w:r>
      <w:hyperlink w:anchor="_Toc509576733" w:history="1">
        <w:r w:rsidR="0026102E" w:rsidRPr="00A0594A">
          <w:rPr>
            <w:rStyle w:val="Hyperlink"/>
            <w:noProof/>
          </w:rPr>
          <w:t>Executive Summary</w:t>
        </w:r>
        <w:r w:rsidR="0026102E">
          <w:rPr>
            <w:noProof/>
            <w:webHidden/>
          </w:rPr>
          <w:tab/>
        </w:r>
        <w:r w:rsidR="0026102E">
          <w:rPr>
            <w:noProof/>
            <w:webHidden/>
          </w:rPr>
          <w:fldChar w:fldCharType="begin"/>
        </w:r>
        <w:r w:rsidR="0026102E">
          <w:rPr>
            <w:noProof/>
            <w:webHidden/>
          </w:rPr>
          <w:instrText xml:space="preserve"> PAGEREF _Toc509576733 \h </w:instrText>
        </w:r>
        <w:r w:rsidR="0026102E">
          <w:rPr>
            <w:noProof/>
            <w:webHidden/>
          </w:rPr>
        </w:r>
        <w:r w:rsidR="0026102E">
          <w:rPr>
            <w:noProof/>
            <w:webHidden/>
          </w:rPr>
          <w:fldChar w:fldCharType="separate"/>
        </w:r>
        <w:r w:rsidR="0026102E">
          <w:rPr>
            <w:noProof/>
            <w:webHidden/>
          </w:rPr>
          <w:t>1</w:t>
        </w:r>
        <w:r w:rsidR="0026102E">
          <w:rPr>
            <w:noProof/>
            <w:webHidden/>
          </w:rPr>
          <w:fldChar w:fldCharType="end"/>
        </w:r>
      </w:hyperlink>
    </w:p>
    <w:p w14:paraId="418BAA99" w14:textId="1BFFCDF5"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34" w:history="1">
        <w:r w:rsidR="0026102E" w:rsidRPr="00A0594A">
          <w:rPr>
            <w:rStyle w:val="Hyperlink"/>
            <w:noProof/>
          </w:rPr>
          <w:t>ES.1 Resources Covered</w:t>
        </w:r>
        <w:r w:rsidR="0026102E">
          <w:rPr>
            <w:noProof/>
            <w:webHidden/>
          </w:rPr>
          <w:tab/>
        </w:r>
        <w:r w:rsidR="0026102E">
          <w:rPr>
            <w:noProof/>
            <w:webHidden/>
          </w:rPr>
          <w:fldChar w:fldCharType="begin"/>
        </w:r>
        <w:r w:rsidR="0026102E">
          <w:rPr>
            <w:noProof/>
            <w:webHidden/>
          </w:rPr>
          <w:instrText xml:space="preserve"> PAGEREF _Toc509576734 \h </w:instrText>
        </w:r>
        <w:r w:rsidR="0026102E">
          <w:rPr>
            <w:noProof/>
            <w:webHidden/>
          </w:rPr>
        </w:r>
        <w:r w:rsidR="0026102E">
          <w:rPr>
            <w:noProof/>
            <w:webHidden/>
          </w:rPr>
          <w:fldChar w:fldCharType="separate"/>
        </w:r>
        <w:r w:rsidR="0026102E">
          <w:rPr>
            <w:noProof/>
            <w:webHidden/>
          </w:rPr>
          <w:t>1</w:t>
        </w:r>
        <w:r w:rsidR="0026102E">
          <w:rPr>
            <w:noProof/>
            <w:webHidden/>
          </w:rPr>
          <w:fldChar w:fldCharType="end"/>
        </w:r>
      </w:hyperlink>
    </w:p>
    <w:p w14:paraId="261C8DC5" w14:textId="75A16A70"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35" w:history="1">
        <w:r w:rsidR="0026102E" w:rsidRPr="00A0594A">
          <w:rPr>
            <w:rStyle w:val="Hyperlink"/>
            <w:noProof/>
          </w:rPr>
          <w:t>ES.2 Evaluation Methodologies</w:t>
        </w:r>
        <w:r w:rsidR="0026102E">
          <w:rPr>
            <w:noProof/>
            <w:webHidden/>
          </w:rPr>
          <w:tab/>
        </w:r>
        <w:r w:rsidR="0026102E">
          <w:rPr>
            <w:noProof/>
            <w:webHidden/>
          </w:rPr>
          <w:fldChar w:fldCharType="begin"/>
        </w:r>
        <w:r w:rsidR="0026102E">
          <w:rPr>
            <w:noProof/>
            <w:webHidden/>
          </w:rPr>
          <w:instrText xml:space="preserve"> PAGEREF _Toc509576735 \h </w:instrText>
        </w:r>
        <w:r w:rsidR="0026102E">
          <w:rPr>
            <w:noProof/>
            <w:webHidden/>
          </w:rPr>
        </w:r>
        <w:r w:rsidR="0026102E">
          <w:rPr>
            <w:noProof/>
            <w:webHidden/>
          </w:rPr>
          <w:fldChar w:fldCharType="separate"/>
        </w:r>
        <w:r w:rsidR="0026102E">
          <w:rPr>
            <w:noProof/>
            <w:webHidden/>
          </w:rPr>
          <w:t>1</w:t>
        </w:r>
        <w:r w:rsidR="0026102E">
          <w:rPr>
            <w:noProof/>
            <w:webHidden/>
          </w:rPr>
          <w:fldChar w:fldCharType="end"/>
        </w:r>
      </w:hyperlink>
    </w:p>
    <w:p w14:paraId="30777E68" w14:textId="2470981A"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36" w:history="1">
        <w:r w:rsidR="0026102E" w:rsidRPr="00A0594A">
          <w:rPr>
            <w:rStyle w:val="Hyperlink"/>
            <w:noProof/>
          </w:rPr>
          <w:t>ES.3 Ex-Post Load Impacts</w:t>
        </w:r>
        <w:r w:rsidR="0026102E">
          <w:rPr>
            <w:noProof/>
            <w:webHidden/>
          </w:rPr>
          <w:tab/>
        </w:r>
        <w:r w:rsidR="0026102E">
          <w:rPr>
            <w:noProof/>
            <w:webHidden/>
          </w:rPr>
          <w:fldChar w:fldCharType="begin"/>
        </w:r>
        <w:r w:rsidR="0026102E">
          <w:rPr>
            <w:noProof/>
            <w:webHidden/>
          </w:rPr>
          <w:instrText xml:space="preserve"> PAGEREF _Toc509576736 \h </w:instrText>
        </w:r>
        <w:r w:rsidR="0026102E">
          <w:rPr>
            <w:noProof/>
            <w:webHidden/>
          </w:rPr>
        </w:r>
        <w:r w:rsidR="0026102E">
          <w:rPr>
            <w:noProof/>
            <w:webHidden/>
          </w:rPr>
          <w:fldChar w:fldCharType="separate"/>
        </w:r>
        <w:r w:rsidR="0026102E">
          <w:rPr>
            <w:noProof/>
            <w:webHidden/>
          </w:rPr>
          <w:t>2</w:t>
        </w:r>
        <w:r w:rsidR="0026102E">
          <w:rPr>
            <w:noProof/>
            <w:webHidden/>
          </w:rPr>
          <w:fldChar w:fldCharType="end"/>
        </w:r>
      </w:hyperlink>
    </w:p>
    <w:p w14:paraId="73392C54" w14:textId="4F23FC00" w:rsidR="0026102E" w:rsidRDefault="002C1FA8">
      <w:pPr>
        <w:pStyle w:val="TOC3"/>
        <w:rPr>
          <w:rFonts w:asciiTheme="minorHAnsi" w:eastAsiaTheme="minorEastAsia" w:hAnsiTheme="minorHAnsi" w:cstheme="minorBidi"/>
          <w:noProof/>
          <w:sz w:val="22"/>
          <w:szCs w:val="22"/>
        </w:rPr>
      </w:pPr>
      <w:hyperlink w:anchor="_Toc509576737" w:history="1">
        <w:r w:rsidR="0026102E" w:rsidRPr="00A0594A">
          <w:rPr>
            <w:rStyle w:val="Hyperlink"/>
            <w:noProof/>
          </w:rPr>
          <w:t>CPP (TOU-DR-P)</w:t>
        </w:r>
        <w:r w:rsidR="0026102E">
          <w:rPr>
            <w:noProof/>
            <w:webHidden/>
          </w:rPr>
          <w:tab/>
        </w:r>
        <w:r w:rsidR="0026102E">
          <w:rPr>
            <w:noProof/>
            <w:webHidden/>
          </w:rPr>
          <w:fldChar w:fldCharType="begin"/>
        </w:r>
        <w:r w:rsidR="0026102E">
          <w:rPr>
            <w:noProof/>
            <w:webHidden/>
          </w:rPr>
          <w:instrText xml:space="preserve"> PAGEREF _Toc509576737 \h </w:instrText>
        </w:r>
        <w:r w:rsidR="0026102E">
          <w:rPr>
            <w:noProof/>
            <w:webHidden/>
          </w:rPr>
        </w:r>
        <w:r w:rsidR="0026102E">
          <w:rPr>
            <w:noProof/>
            <w:webHidden/>
          </w:rPr>
          <w:fldChar w:fldCharType="separate"/>
        </w:r>
        <w:r w:rsidR="0026102E">
          <w:rPr>
            <w:noProof/>
            <w:webHidden/>
          </w:rPr>
          <w:t>2</w:t>
        </w:r>
        <w:r w:rsidR="0026102E">
          <w:rPr>
            <w:noProof/>
            <w:webHidden/>
          </w:rPr>
          <w:fldChar w:fldCharType="end"/>
        </w:r>
      </w:hyperlink>
    </w:p>
    <w:p w14:paraId="73667678" w14:textId="0B055A2D" w:rsidR="0026102E" w:rsidRDefault="002C1FA8">
      <w:pPr>
        <w:pStyle w:val="TOC3"/>
        <w:rPr>
          <w:rFonts w:asciiTheme="minorHAnsi" w:eastAsiaTheme="minorEastAsia" w:hAnsiTheme="minorHAnsi" w:cstheme="minorBidi"/>
          <w:noProof/>
          <w:sz w:val="22"/>
          <w:szCs w:val="22"/>
        </w:rPr>
      </w:pPr>
      <w:hyperlink w:anchor="_Toc509576738" w:history="1">
        <w:r w:rsidR="0026102E" w:rsidRPr="00A0594A">
          <w:rPr>
            <w:rStyle w:val="Hyperlink"/>
            <w:noProof/>
          </w:rPr>
          <w:t>TOU peak load impacts – TOU (TOU-DR)</w:t>
        </w:r>
        <w:r w:rsidR="0026102E">
          <w:rPr>
            <w:noProof/>
            <w:webHidden/>
          </w:rPr>
          <w:tab/>
        </w:r>
        <w:r w:rsidR="0026102E">
          <w:rPr>
            <w:noProof/>
            <w:webHidden/>
          </w:rPr>
          <w:fldChar w:fldCharType="begin"/>
        </w:r>
        <w:r w:rsidR="0026102E">
          <w:rPr>
            <w:noProof/>
            <w:webHidden/>
          </w:rPr>
          <w:instrText xml:space="preserve"> PAGEREF _Toc509576738 \h </w:instrText>
        </w:r>
        <w:r w:rsidR="0026102E">
          <w:rPr>
            <w:noProof/>
            <w:webHidden/>
          </w:rPr>
        </w:r>
        <w:r w:rsidR="0026102E">
          <w:rPr>
            <w:noProof/>
            <w:webHidden/>
          </w:rPr>
          <w:fldChar w:fldCharType="separate"/>
        </w:r>
        <w:r w:rsidR="0026102E">
          <w:rPr>
            <w:noProof/>
            <w:webHidden/>
          </w:rPr>
          <w:t>2</w:t>
        </w:r>
        <w:r w:rsidR="0026102E">
          <w:rPr>
            <w:noProof/>
            <w:webHidden/>
          </w:rPr>
          <w:fldChar w:fldCharType="end"/>
        </w:r>
      </w:hyperlink>
    </w:p>
    <w:p w14:paraId="3CDBBF6C" w14:textId="422D3265" w:rsidR="0026102E" w:rsidRDefault="002C1FA8">
      <w:pPr>
        <w:pStyle w:val="TOC3"/>
        <w:rPr>
          <w:rFonts w:asciiTheme="minorHAnsi" w:eastAsiaTheme="minorEastAsia" w:hAnsiTheme="minorHAnsi" w:cstheme="minorBidi"/>
          <w:noProof/>
          <w:sz w:val="22"/>
          <w:szCs w:val="22"/>
        </w:rPr>
      </w:pPr>
      <w:hyperlink w:anchor="_Toc509576739" w:history="1">
        <w:r w:rsidR="0026102E" w:rsidRPr="00A0594A">
          <w:rPr>
            <w:rStyle w:val="Hyperlink"/>
            <w:noProof/>
          </w:rPr>
          <w:t>TOU peak load impacts – CPP (TOU-DR-P)</w:t>
        </w:r>
        <w:r w:rsidR="0026102E">
          <w:rPr>
            <w:noProof/>
            <w:webHidden/>
          </w:rPr>
          <w:tab/>
        </w:r>
        <w:r w:rsidR="0026102E">
          <w:rPr>
            <w:noProof/>
            <w:webHidden/>
          </w:rPr>
          <w:fldChar w:fldCharType="begin"/>
        </w:r>
        <w:r w:rsidR="0026102E">
          <w:rPr>
            <w:noProof/>
            <w:webHidden/>
          </w:rPr>
          <w:instrText xml:space="preserve"> PAGEREF _Toc509576739 \h </w:instrText>
        </w:r>
        <w:r w:rsidR="0026102E">
          <w:rPr>
            <w:noProof/>
            <w:webHidden/>
          </w:rPr>
        </w:r>
        <w:r w:rsidR="0026102E">
          <w:rPr>
            <w:noProof/>
            <w:webHidden/>
          </w:rPr>
          <w:fldChar w:fldCharType="separate"/>
        </w:r>
        <w:r w:rsidR="0026102E">
          <w:rPr>
            <w:noProof/>
            <w:webHidden/>
          </w:rPr>
          <w:t>4</w:t>
        </w:r>
        <w:r w:rsidR="0026102E">
          <w:rPr>
            <w:noProof/>
            <w:webHidden/>
          </w:rPr>
          <w:fldChar w:fldCharType="end"/>
        </w:r>
      </w:hyperlink>
    </w:p>
    <w:p w14:paraId="554B6661" w14:textId="54DFF560"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40" w:history="1">
        <w:r w:rsidR="0026102E" w:rsidRPr="00A0594A">
          <w:rPr>
            <w:rStyle w:val="Hyperlink"/>
            <w:noProof/>
          </w:rPr>
          <w:t>ES.4 Ex-Ante Load Impacts</w:t>
        </w:r>
        <w:r w:rsidR="0026102E">
          <w:rPr>
            <w:noProof/>
            <w:webHidden/>
          </w:rPr>
          <w:tab/>
        </w:r>
        <w:r w:rsidR="0026102E">
          <w:rPr>
            <w:noProof/>
            <w:webHidden/>
          </w:rPr>
          <w:fldChar w:fldCharType="begin"/>
        </w:r>
        <w:r w:rsidR="0026102E">
          <w:rPr>
            <w:noProof/>
            <w:webHidden/>
          </w:rPr>
          <w:instrText xml:space="preserve"> PAGEREF _Toc509576740 \h </w:instrText>
        </w:r>
        <w:r w:rsidR="0026102E">
          <w:rPr>
            <w:noProof/>
            <w:webHidden/>
          </w:rPr>
        </w:r>
        <w:r w:rsidR="0026102E">
          <w:rPr>
            <w:noProof/>
            <w:webHidden/>
          </w:rPr>
          <w:fldChar w:fldCharType="separate"/>
        </w:r>
        <w:r w:rsidR="0026102E">
          <w:rPr>
            <w:noProof/>
            <w:webHidden/>
          </w:rPr>
          <w:t>6</w:t>
        </w:r>
        <w:r w:rsidR="0026102E">
          <w:rPr>
            <w:noProof/>
            <w:webHidden/>
          </w:rPr>
          <w:fldChar w:fldCharType="end"/>
        </w:r>
      </w:hyperlink>
    </w:p>
    <w:p w14:paraId="48A37067" w14:textId="0CE62DB5"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41" w:history="1">
        <w:r w:rsidR="0026102E" w:rsidRPr="00A0594A">
          <w:rPr>
            <w:rStyle w:val="Hyperlink"/>
            <w:noProof/>
          </w:rPr>
          <w:t>ES.4.1 Enrollment forecast</w:t>
        </w:r>
        <w:r w:rsidR="0026102E">
          <w:rPr>
            <w:noProof/>
            <w:webHidden/>
          </w:rPr>
          <w:tab/>
        </w:r>
        <w:r w:rsidR="0026102E">
          <w:rPr>
            <w:noProof/>
            <w:webHidden/>
          </w:rPr>
          <w:fldChar w:fldCharType="begin"/>
        </w:r>
        <w:r w:rsidR="0026102E">
          <w:rPr>
            <w:noProof/>
            <w:webHidden/>
          </w:rPr>
          <w:instrText xml:space="preserve"> PAGEREF _Toc509576741 \h </w:instrText>
        </w:r>
        <w:r w:rsidR="0026102E">
          <w:rPr>
            <w:noProof/>
            <w:webHidden/>
          </w:rPr>
        </w:r>
        <w:r w:rsidR="0026102E">
          <w:rPr>
            <w:noProof/>
            <w:webHidden/>
          </w:rPr>
          <w:fldChar w:fldCharType="separate"/>
        </w:r>
        <w:r w:rsidR="0026102E">
          <w:rPr>
            <w:noProof/>
            <w:webHidden/>
          </w:rPr>
          <w:t>6</w:t>
        </w:r>
        <w:r w:rsidR="0026102E">
          <w:rPr>
            <w:noProof/>
            <w:webHidden/>
          </w:rPr>
          <w:fldChar w:fldCharType="end"/>
        </w:r>
      </w:hyperlink>
    </w:p>
    <w:p w14:paraId="411BFF1A" w14:textId="022EE436"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42" w:history="1">
        <w:r w:rsidR="0026102E" w:rsidRPr="00A0594A">
          <w:rPr>
            <w:rStyle w:val="Hyperlink"/>
            <w:noProof/>
          </w:rPr>
          <w:t>ES.4.2 Ex-ante load impacts – Residential CPP</w:t>
        </w:r>
        <w:r w:rsidR="0026102E">
          <w:rPr>
            <w:noProof/>
            <w:webHidden/>
          </w:rPr>
          <w:tab/>
        </w:r>
        <w:r w:rsidR="0026102E">
          <w:rPr>
            <w:noProof/>
            <w:webHidden/>
          </w:rPr>
          <w:fldChar w:fldCharType="begin"/>
        </w:r>
        <w:r w:rsidR="0026102E">
          <w:rPr>
            <w:noProof/>
            <w:webHidden/>
          </w:rPr>
          <w:instrText xml:space="preserve"> PAGEREF _Toc509576742 \h </w:instrText>
        </w:r>
        <w:r w:rsidR="0026102E">
          <w:rPr>
            <w:noProof/>
            <w:webHidden/>
          </w:rPr>
        </w:r>
        <w:r w:rsidR="0026102E">
          <w:rPr>
            <w:noProof/>
            <w:webHidden/>
          </w:rPr>
          <w:fldChar w:fldCharType="separate"/>
        </w:r>
        <w:r w:rsidR="0026102E">
          <w:rPr>
            <w:noProof/>
            <w:webHidden/>
          </w:rPr>
          <w:t>7</w:t>
        </w:r>
        <w:r w:rsidR="0026102E">
          <w:rPr>
            <w:noProof/>
            <w:webHidden/>
          </w:rPr>
          <w:fldChar w:fldCharType="end"/>
        </w:r>
      </w:hyperlink>
    </w:p>
    <w:p w14:paraId="6A16608F" w14:textId="2A86DDBC"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43" w:history="1">
        <w:r w:rsidR="0026102E" w:rsidRPr="00A0594A">
          <w:rPr>
            <w:rStyle w:val="Hyperlink"/>
            <w:noProof/>
          </w:rPr>
          <w:t>ES.4.3 Ex-Ante load impacts – Residential TOU</w:t>
        </w:r>
        <w:r w:rsidR="0026102E">
          <w:rPr>
            <w:noProof/>
            <w:webHidden/>
          </w:rPr>
          <w:tab/>
        </w:r>
        <w:r w:rsidR="0026102E">
          <w:rPr>
            <w:noProof/>
            <w:webHidden/>
          </w:rPr>
          <w:fldChar w:fldCharType="begin"/>
        </w:r>
        <w:r w:rsidR="0026102E">
          <w:rPr>
            <w:noProof/>
            <w:webHidden/>
          </w:rPr>
          <w:instrText xml:space="preserve"> PAGEREF _Toc509576743 \h </w:instrText>
        </w:r>
        <w:r w:rsidR="0026102E">
          <w:rPr>
            <w:noProof/>
            <w:webHidden/>
          </w:rPr>
        </w:r>
        <w:r w:rsidR="0026102E">
          <w:rPr>
            <w:noProof/>
            <w:webHidden/>
          </w:rPr>
          <w:fldChar w:fldCharType="separate"/>
        </w:r>
        <w:r w:rsidR="0026102E">
          <w:rPr>
            <w:noProof/>
            <w:webHidden/>
          </w:rPr>
          <w:t>8</w:t>
        </w:r>
        <w:r w:rsidR="0026102E">
          <w:rPr>
            <w:noProof/>
            <w:webHidden/>
          </w:rPr>
          <w:fldChar w:fldCharType="end"/>
        </w:r>
      </w:hyperlink>
    </w:p>
    <w:p w14:paraId="77833F2A" w14:textId="2061F291" w:rsidR="0026102E" w:rsidRDefault="002C1FA8">
      <w:pPr>
        <w:pStyle w:val="TOC1"/>
        <w:rPr>
          <w:rFonts w:asciiTheme="minorHAnsi" w:eastAsiaTheme="minorEastAsia" w:hAnsiTheme="minorHAnsi" w:cstheme="minorBidi"/>
          <w:b w:val="0"/>
          <w:noProof/>
          <w:sz w:val="22"/>
          <w:szCs w:val="22"/>
        </w:rPr>
      </w:pPr>
      <w:hyperlink w:anchor="_Toc509576744" w:history="1">
        <w:r w:rsidR="0026102E" w:rsidRPr="00A0594A">
          <w:rPr>
            <w:rStyle w:val="Hyperlink"/>
            <w:noProof/>
          </w:rPr>
          <w:t>1. Introduction and Purpose of the Study</w:t>
        </w:r>
        <w:r w:rsidR="0026102E">
          <w:rPr>
            <w:noProof/>
            <w:webHidden/>
          </w:rPr>
          <w:tab/>
        </w:r>
        <w:r w:rsidR="0026102E">
          <w:rPr>
            <w:noProof/>
            <w:webHidden/>
          </w:rPr>
          <w:fldChar w:fldCharType="begin"/>
        </w:r>
        <w:r w:rsidR="0026102E">
          <w:rPr>
            <w:noProof/>
            <w:webHidden/>
          </w:rPr>
          <w:instrText xml:space="preserve"> PAGEREF _Toc509576744 \h </w:instrText>
        </w:r>
        <w:r w:rsidR="0026102E">
          <w:rPr>
            <w:noProof/>
            <w:webHidden/>
          </w:rPr>
        </w:r>
        <w:r w:rsidR="0026102E">
          <w:rPr>
            <w:noProof/>
            <w:webHidden/>
          </w:rPr>
          <w:fldChar w:fldCharType="separate"/>
        </w:r>
        <w:r w:rsidR="0026102E">
          <w:rPr>
            <w:noProof/>
            <w:webHidden/>
          </w:rPr>
          <w:t>10</w:t>
        </w:r>
        <w:r w:rsidR="0026102E">
          <w:rPr>
            <w:noProof/>
            <w:webHidden/>
          </w:rPr>
          <w:fldChar w:fldCharType="end"/>
        </w:r>
      </w:hyperlink>
    </w:p>
    <w:p w14:paraId="011B19B6" w14:textId="254E5203" w:rsidR="0026102E" w:rsidRDefault="002C1FA8">
      <w:pPr>
        <w:pStyle w:val="TOC1"/>
        <w:rPr>
          <w:rFonts w:asciiTheme="minorHAnsi" w:eastAsiaTheme="minorEastAsia" w:hAnsiTheme="minorHAnsi" w:cstheme="minorBidi"/>
          <w:b w:val="0"/>
          <w:noProof/>
          <w:sz w:val="22"/>
          <w:szCs w:val="22"/>
        </w:rPr>
      </w:pPr>
      <w:hyperlink w:anchor="_Toc509576745" w:history="1">
        <w:r w:rsidR="0026102E" w:rsidRPr="00A0594A">
          <w:rPr>
            <w:rStyle w:val="Hyperlink"/>
            <w:noProof/>
          </w:rPr>
          <w:t>2. Description of SPP Rates</w:t>
        </w:r>
        <w:r w:rsidR="0026102E">
          <w:rPr>
            <w:noProof/>
            <w:webHidden/>
          </w:rPr>
          <w:tab/>
        </w:r>
        <w:r w:rsidR="0026102E">
          <w:rPr>
            <w:noProof/>
            <w:webHidden/>
          </w:rPr>
          <w:fldChar w:fldCharType="begin"/>
        </w:r>
        <w:r w:rsidR="0026102E">
          <w:rPr>
            <w:noProof/>
            <w:webHidden/>
          </w:rPr>
          <w:instrText xml:space="preserve"> PAGEREF _Toc509576745 \h </w:instrText>
        </w:r>
        <w:r w:rsidR="0026102E">
          <w:rPr>
            <w:noProof/>
            <w:webHidden/>
          </w:rPr>
        </w:r>
        <w:r w:rsidR="0026102E">
          <w:rPr>
            <w:noProof/>
            <w:webHidden/>
          </w:rPr>
          <w:fldChar w:fldCharType="separate"/>
        </w:r>
        <w:r w:rsidR="0026102E">
          <w:rPr>
            <w:noProof/>
            <w:webHidden/>
          </w:rPr>
          <w:t>11</w:t>
        </w:r>
        <w:r w:rsidR="0026102E">
          <w:rPr>
            <w:noProof/>
            <w:webHidden/>
          </w:rPr>
          <w:fldChar w:fldCharType="end"/>
        </w:r>
      </w:hyperlink>
    </w:p>
    <w:p w14:paraId="07B5FA84" w14:textId="5D412E75" w:rsidR="0026102E" w:rsidRDefault="002C1FA8">
      <w:pPr>
        <w:pStyle w:val="TOC1"/>
        <w:rPr>
          <w:rFonts w:asciiTheme="minorHAnsi" w:eastAsiaTheme="minorEastAsia" w:hAnsiTheme="minorHAnsi" w:cstheme="minorBidi"/>
          <w:b w:val="0"/>
          <w:noProof/>
          <w:sz w:val="22"/>
          <w:szCs w:val="22"/>
        </w:rPr>
      </w:pPr>
      <w:hyperlink w:anchor="_Toc509576746" w:history="1">
        <w:r w:rsidR="0026102E" w:rsidRPr="00A0594A">
          <w:rPr>
            <w:rStyle w:val="Hyperlink"/>
            <w:noProof/>
          </w:rPr>
          <w:t>3. Ex-Post Evaluation Methodology</w:t>
        </w:r>
        <w:r w:rsidR="0026102E">
          <w:rPr>
            <w:noProof/>
            <w:webHidden/>
          </w:rPr>
          <w:tab/>
        </w:r>
        <w:r w:rsidR="0026102E">
          <w:rPr>
            <w:noProof/>
            <w:webHidden/>
          </w:rPr>
          <w:fldChar w:fldCharType="begin"/>
        </w:r>
        <w:r w:rsidR="0026102E">
          <w:rPr>
            <w:noProof/>
            <w:webHidden/>
          </w:rPr>
          <w:instrText xml:space="preserve"> PAGEREF _Toc509576746 \h </w:instrText>
        </w:r>
        <w:r w:rsidR="0026102E">
          <w:rPr>
            <w:noProof/>
            <w:webHidden/>
          </w:rPr>
        </w:r>
        <w:r w:rsidR="0026102E">
          <w:rPr>
            <w:noProof/>
            <w:webHidden/>
          </w:rPr>
          <w:fldChar w:fldCharType="separate"/>
        </w:r>
        <w:r w:rsidR="0026102E">
          <w:rPr>
            <w:noProof/>
            <w:webHidden/>
          </w:rPr>
          <w:t>12</w:t>
        </w:r>
        <w:r w:rsidR="0026102E">
          <w:rPr>
            <w:noProof/>
            <w:webHidden/>
          </w:rPr>
          <w:fldChar w:fldCharType="end"/>
        </w:r>
      </w:hyperlink>
    </w:p>
    <w:p w14:paraId="6B58518C" w14:textId="59C8AEB9"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47" w:history="1">
        <w:r w:rsidR="0026102E" w:rsidRPr="00A0594A">
          <w:rPr>
            <w:rStyle w:val="Hyperlink"/>
            <w:noProof/>
          </w:rPr>
          <w:t>3.1 Data</w:t>
        </w:r>
        <w:r w:rsidR="0026102E">
          <w:rPr>
            <w:noProof/>
            <w:webHidden/>
          </w:rPr>
          <w:tab/>
        </w:r>
        <w:r w:rsidR="0026102E">
          <w:rPr>
            <w:noProof/>
            <w:webHidden/>
          </w:rPr>
          <w:fldChar w:fldCharType="begin"/>
        </w:r>
        <w:r w:rsidR="0026102E">
          <w:rPr>
            <w:noProof/>
            <w:webHidden/>
          </w:rPr>
          <w:instrText xml:space="preserve"> PAGEREF _Toc509576747 \h </w:instrText>
        </w:r>
        <w:r w:rsidR="0026102E">
          <w:rPr>
            <w:noProof/>
            <w:webHidden/>
          </w:rPr>
        </w:r>
        <w:r w:rsidR="0026102E">
          <w:rPr>
            <w:noProof/>
            <w:webHidden/>
          </w:rPr>
          <w:fldChar w:fldCharType="separate"/>
        </w:r>
        <w:r w:rsidR="0026102E">
          <w:rPr>
            <w:noProof/>
            <w:webHidden/>
          </w:rPr>
          <w:t>12</w:t>
        </w:r>
        <w:r w:rsidR="0026102E">
          <w:rPr>
            <w:noProof/>
            <w:webHidden/>
          </w:rPr>
          <w:fldChar w:fldCharType="end"/>
        </w:r>
      </w:hyperlink>
    </w:p>
    <w:p w14:paraId="363D6B06" w14:textId="572F33B2"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48" w:history="1">
        <w:r w:rsidR="0026102E" w:rsidRPr="00A0594A">
          <w:rPr>
            <w:rStyle w:val="Hyperlink"/>
            <w:noProof/>
          </w:rPr>
          <w:t>3.2 Analysis Methods</w:t>
        </w:r>
        <w:r w:rsidR="0026102E">
          <w:rPr>
            <w:noProof/>
            <w:webHidden/>
          </w:rPr>
          <w:tab/>
        </w:r>
        <w:r w:rsidR="0026102E">
          <w:rPr>
            <w:noProof/>
            <w:webHidden/>
          </w:rPr>
          <w:fldChar w:fldCharType="begin"/>
        </w:r>
        <w:r w:rsidR="0026102E">
          <w:rPr>
            <w:noProof/>
            <w:webHidden/>
          </w:rPr>
          <w:instrText xml:space="preserve"> PAGEREF _Toc509576748 \h </w:instrText>
        </w:r>
        <w:r w:rsidR="0026102E">
          <w:rPr>
            <w:noProof/>
            <w:webHidden/>
          </w:rPr>
        </w:r>
        <w:r w:rsidR="0026102E">
          <w:rPr>
            <w:noProof/>
            <w:webHidden/>
          </w:rPr>
          <w:fldChar w:fldCharType="separate"/>
        </w:r>
        <w:r w:rsidR="0026102E">
          <w:rPr>
            <w:noProof/>
            <w:webHidden/>
          </w:rPr>
          <w:t>12</w:t>
        </w:r>
        <w:r w:rsidR="0026102E">
          <w:rPr>
            <w:noProof/>
            <w:webHidden/>
          </w:rPr>
          <w:fldChar w:fldCharType="end"/>
        </w:r>
      </w:hyperlink>
    </w:p>
    <w:p w14:paraId="6D3F8A7C" w14:textId="46D9D6B6" w:rsidR="0026102E" w:rsidRDefault="002C1FA8">
      <w:pPr>
        <w:pStyle w:val="TOC3"/>
        <w:rPr>
          <w:rFonts w:asciiTheme="minorHAnsi" w:eastAsiaTheme="minorEastAsia" w:hAnsiTheme="minorHAnsi" w:cstheme="minorBidi"/>
          <w:noProof/>
          <w:sz w:val="22"/>
          <w:szCs w:val="22"/>
        </w:rPr>
      </w:pPr>
      <w:hyperlink w:anchor="_Toc509576749" w:history="1">
        <w:r w:rsidR="0026102E" w:rsidRPr="00A0594A">
          <w:rPr>
            <w:rStyle w:val="Hyperlink"/>
            <w:noProof/>
          </w:rPr>
          <w:t>3.2.1 Evaluation design and control group matching</w:t>
        </w:r>
        <w:r w:rsidR="0026102E">
          <w:rPr>
            <w:noProof/>
            <w:webHidden/>
          </w:rPr>
          <w:tab/>
        </w:r>
        <w:r w:rsidR="0026102E">
          <w:rPr>
            <w:noProof/>
            <w:webHidden/>
          </w:rPr>
          <w:fldChar w:fldCharType="begin"/>
        </w:r>
        <w:r w:rsidR="0026102E">
          <w:rPr>
            <w:noProof/>
            <w:webHidden/>
          </w:rPr>
          <w:instrText xml:space="preserve"> PAGEREF _Toc509576749 \h </w:instrText>
        </w:r>
        <w:r w:rsidR="0026102E">
          <w:rPr>
            <w:noProof/>
            <w:webHidden/>
          </w:rPr>
        </w:r>
        <w:r w:rsidR="0026102E">
          <w:rPr>
            <w:noProof/>
            <w:webHidden/>
          </w:rPr>
          <w:fldChar w:fldCharType="separate"/>
        </w:r>
        <w:r w:rsidR="0026102E">
          <w:rPr>
            <w:noProof/>
            <w:webHidden/>
          </w:rPr>
          <w:t>12</w:t>
        </w:r>
        <w:r w:rsidR="0026102E">
          <w:rPr>
            <w:noProof/>
            <w:webHidden/>
          </w:rPr>
          <w:fldChar w:fldCharType="end"/>
        </w:r>
      </w:hyperlink>
    </w:p>
    <w:p w14:paraId="39B0B7ED" w14:textId="755532A3" w:rsidR="0026102E" w:rsidRDefault="002C1FA8">
      <w:pPr>
        <w:pStyle w:val="TOC3"/>
        <w:rPr>
          <w:rFonts w:asciiTheme="minorHAnsi" w:eastAsiaTheme="minorEastAsia" w:hAnsiTheme="minorHAnsi" w:cstheme="minorBidi"/>
          <w:noProof/>
          <w:sz w:val="22"/>
          <w:szCs w:val="22"/>
        </w:rPr>
      </w:pPr>
      <w:hyperlink w:anchor="_Toc509576750" w:history="1">
        <w:r w:rsidR="0026102E" w:rsidRPr="00A0594A">
          <w:rPr>
            <w:rStyle w:val="Hyperlink"/>
            <w:noProof/>
          </w:rPr>
          <w:t>3.2.2 Fixed-effects panel regression models</w:t>
        </w:r>
        <w:r w:rsidR="0026102E">
          <w:rPr>
            <w:noProof/>
            <w:webHidden/>
          </w:rPr>
          <w:tab/>
        </w:r>
        <w:r w:rsidR="0026102E">
          <w:rPr>
            <w:noProof/>
            <w:webHidden/>
          </w:rPr>
          <w:fldChar w:fldCharType="begin"/>
        </w:r>
        <w:r w:rsidR="0026102E">
          <w:rPr>
            <w:noProof/>
            <w:webHidden/>
          </w:rPr>
          <w:instrText xml:space="preserve"> PAGEREF _Toc509576750 \h </w:instrText>
        </w:r>
        <w:r w:rsidR="0026102E">
          <w:rPr>
            <w:noProof/>
            <w:webHidden/>
          </w:rPr>
        </w:r>
        <w:r w:rsidR="0026102E">
          <w:rPr>
            <w:noProof/>
            <w:webHidden/>
          </w:rPr>
          <w:fldChar w:fldCharType="separate"/>
        </w:r>
        <w:r w:rsidR="0026102E">
          <w:rPr>
            <w:noProof/>
            <w:webHidden/>
          </w:rPr>
          <w:t>15</w:t>
        </w:r>
        <w:r w:rsidR="0026102E">
          <w:rPr>
            <w:noProof/>
            <w:webHidden/>
          </w:rPr>
          <w:fldChar w:fldCharType="end"/>
        </w:r>
      </w:hyperlink>
    </w:p>
    <w:p w14:paraId="4B8CC2C2" w14:textId="6F8C425A" w:rsidR="0026102E" w:rsidRDefault="002C1FA8">
      <w:pPr>
        <w:pStyle w:val="TOC3"/>
        <w:rPr>
          <w:rFonts w:asciiTheme="minorHAnsi" w:eastAsiaTheme="minorEastAsia" w:hAnsiTheme="minorHAnsi" w:cstheme="minorBidi"/>
          <w:noProof/>
          <w:sz w:val="22"/>
          <w:szCs w:val="22"/>
        </w:rPr>
      </w:pPr>
      <w:hyperlink w:anchor="_Toc509576751" w:history="1">
        <w:r w:rsidR="0026102E" w:rsidRPr="00A0594A">
          <w:rPr>
            <w:rStyle w:val="Hyperlink"/>
            <w:noProof/>
          </w:rPr>
          <w:t>3.2.3 Ex-post models for estimating CPP load impacts</w:t>
        </w:r>
        <w:r w:rsidR="0026102E">
          <w:rPr>
            <w:noProof/>
            <w:webHidden/>
          </w:rPr>
          <w:tab/>
        </w:r>
        <w:r w:rsidR="0026102E">
          <w:rPr>
            <w:noProof/>
            <w:webHidden/>
          </w:rPr>
          <w:fldChar w:fldCharType="begin"/>
        </w:r>
        <w:r w:rsidR="0026102E">
          <w:rPr>
            <w:noProof/>
            <w:webHidden/>
          </w:rPr>
          <w:instrText xml:space="preserve"> PAGEREF _Toc509576751 \h </w:instrText>
        </w:r>
        <w:r w:rsidR="0026102E">
          <w:rPr>
            <w:noProof/>
            <w:webHidden/>
          </w:rPr>
        </w:r>
        <w:r w:rsidR="0026102E">
          <w:rPr>
            <w:noProof/>
            <w:webHidden/>
          </w:rPr>
          <w:fldChar w:fldCharType="separate"/>
        </w:r>
        <w:r w:rsidR="0026102E">
          <w:rPr>
            <w:noProof/>
            <w:webHidden/>
          </w:rPr>
          <w:t>15</w:t>
        </w:r>
        <w:r w:rsidR="0026102E">
          <w:rPr>
            <w:noProof/>
            <w:webHidden/>
          </w:rPr>
          <w:fldChar w:fldCharType="end"/>
        </w:r>
      </w:hyperlink>
    </w:p>
    <w:p w14:paraId="72186723" w14:textId="15DF58FE" w:rsidR="0026102E" w:rsidRDefault="002C1FA8">
      <w:pPr>
        <w:pStyle w:val="TOC3"/>
        <w:rPr>
          <w:rFonts w:asciiTheme="minorHAnsi" w:eastAsiaTheme="minorEastAsia" w:hAnsiTheme="minorHAnsi" w:cstheme="minorBidi"/>
          <w:noProof/>
          <w:sz w:val="22"/>
          <w:szCs w:val="22"/>
        </w:rPr>
      </w:pPr>
      <w:hyperlink w:anchor="_Toc509576752" w:history="1">
        <w:r w:rsidR="0026102E" w:rsidRPr="00A0594A">
          <w:rPr>
            <w:rStyle w:val="Hyperlink"/>
            <w:noProof/>
          </w:rPr>
          <w:t>3.2.4 Ex-post models for TOU load impacts</w:t>
        </w:r>
        <w:r w:rsidR="0026102E">
          <w:rPr>
            <w:noProof/>
            <w:webHidden/>
          </w:rPr>
          <w:tab/>
        </w:r>
        <w:r w:rsidR="0026102E">
          <w:rPr>
            <w:noProof/>
            <w:webHidden/>
          </w:rPr>
          <w:fldChar w:fldCharType="begin"/>
        </w:r>
        <w:r w:rsidR="0026102E">
          <w:rPr>
            <w:noProof/>
            <w:webHidden/>
          </w:rPr>
          <w:instrText xml:space="preserve"> PAGEREF _Toc509576752 \h </w:instrText>
        </w:r>
        <w:r w:rsidR="0026102E">
          <w:rPr>
            <w:noProof/>
            <w:webHidden/>
          </w:rPr>
        </w:r>
        <w:r w:rsidR="0026102E">
          <w:rPr>
            <w:noProof/>
            <w:webHidden/>
          </w:rPr>
          <w:fldChar w:fldCharType="separate"/>
        </w:r>
        <w:r w:rsidR="0026102E">
          <w:rPr>
            <w:noProof/>
            <w:webHidden/>
          </w:rPr>
          <w:t>16</w:t>
        </w:r>
        <w:r w:rsidR="0026102E">
          <w:rPr>
            <w:noProof/>
            <w:webHidden/>
          </w:rPr>
          <w:fldChar w:fldCharType="end"/>
        </w:r>
      </w:hyperlink>
    </w:p>
    <w:p w14:paraId="2D39A1AD" w14:textId="10E8A996" w:rsidR="0026102E" w:rsidRDefault="002C1FA8">
      <w:pPr>
        <w:pStyle w:val="TOC3"/>
        <w:rPr>
          <w:rFonts w:asciiTheme="minorHAnsi" w:eastAsiaTheme="minorEastAsia" w:hAnsiTheme="minorHAnsi" w:cstheme="minorBidi"/>
          <w:noProof/>
          <w:sz w:val="22"/>
          <w:szCs w:val="22"/>
        </w:rPr>
      </w:pPr>
      <w:hyperlink w:anchor="_Toc509576753" w:history="1">
        <w:r w:rsidR="0026102E" w:rsidRPr="00A0594A">
          <w:rPr>
            <w:rStyle w:val="Hyperlink"/>
            <w:noProof/>
          </w:rPr>
          <w:t>3.2.5 Calculating uncertainty-adjusted load impacts</w:t>
        </w:r>
        <w:r w:rsidR="0026102E">
          <w:rPr>
            <w:noProof/>
            <w:webHidden/>
          </w:rPr>
          <w:tab/>
        </w:r>
        <w:r w:rsidR="0026102E">
          <w:rPr>
            <w:noProof/>
            <w:webHidden/>
          </w:rPr>
          <w:fldChar w:fldCharType="begin"/>
        </w:r>
        <w:r w:rsidR="0026102E">
          <w:rPr>
            <w:noProof/>
            <w:webHidden/>
          </w:rPr>
          <w:instrText xml:space="preserve"> PAGEREF _Toc509576753 \h </w:instrText>
        </w:r>
        <w:r w:rsidR="0026102E">
          <w:rPr>
            <w:noProof/>
            <w:webHidden/>
          </w:rPr>
        </w:r>
        <w:r w:rsidR="0026102E">
          <w:rPr>
            <w:noProof/>
            <w:webHidden/>
          </w:rPr>
          <w:fldChar w:fldCharType="separate"/>
        </w:r>
        <w:r w:rsidR="0026102E">
          <w:rPr>
            <w:noProof/>
            <w:webHidden/>
          </w:rPr>
          <w:t>18</w:t>
        </w:r>
        <w:r w:rsidR="0026102E">
          <w:rPr>
            <w:noProof/>
            <w:webHidden/>
          </w:rPr>
          <w:fldChar w:fldCharType="end"/>
        </w:r>
      </w:hyperlink>
    </w:p>
    <w:p w14:paraId="16FC3C59" w14:textId="4699A8FC" w:rsidR="0026102E" w:rsidRDefault="002C1FA8">
      <w:pPr>
        <w:pStyle w:val="TOC3"/>
        <w:rPr>
          <w:rFonts w:asciiTheme="minorHAnsi" w:eastAsiaTheme="minorEastAsia" w:hAnsiTheme="minorHAnsi" w:cstheme="minorBidi"/>
          <w:noProof/>
          <w:sz w:val="22"/>
          <w:szCs w:val="22"/>
        </w:rPr>
      </w:pPr>
      <w:hyperlink w:anchor="_Toc509576754" w:history="1">
        <w:r w:rsidR="0026102E" w:rsidRPr="00A0594A">
          <w:rPr>
            <w:rStyle w:val="Hyperlink"/>
            <w:noProof/>
          </w:rPr>
          <w:t>3.2.6 Validity assessment</w:t>
        </w:r>
        <w:r w:rsidR="0026102E">
          <w:rPr>
            <w:noProof/>
            <w:webHidden/>
          </w:rPr>
          <w:tab/>
        </w:r>
        <w:r w:rsidR="0026102E">
          <w:rPr>
            <w:noProof/>
            <w:webHidden/>
          </w:rPr>
          <w:fldChar w:fldCharType="begin"/>
        </w:r>
        <w:r w:rsidR="0026102E">
          <w:rPr>
            <w:noProof/>
            <w:webHidden/>
          </w:rPr>
          <w:instrText xml:space="preserve"> PAGEREF _Toc509576754 \h </w:instrText>
        </w:r>
        <w:r w:rsidR="0026102E">
          <w:rPr>
            <w:noProof/>
            <w:webHidden/>
          </w:rPr>
        </w:r>
        <w:r w:rsidR="0026102E">
          <w:rPr>
            <w:noProof/>
            <w:webHidden/>
          </w:rPr>
          <w:fldChar w:fldCharType="separate"/>
        </w:r>
        <w:r w:rsidR="0026102E">
          <w:rPr>
            <w:noProof/>
            <w:webHidden/>
          </w:rPr>
          <w:t>18</w:t>
        </w:r>
        <w:r w:rsidR="0026102E">
          <w:rPr>
            <w:noProof/>
            <w:webHidden/>
          </w:rPr>
          <w:fldChar w:fldCharType="end"/>
        </w:r>
      </w:hyperlink>
    </w:p>
    <w:p w14:paraId="65A3D548" w14:textId="1052B731" w:rsidR="0026102E" w:rsidRDefault="002C1FA8">
      <w:pPr>
        <w:pStyle w:val="TOC1"/>
        <w:rPr>
          <w:rFonts w:asciiTheme="minorHAnsi" w:eastAsiaTheme="minorEastAsia" w:hAnsiTheme="minorHAnsi" w:cstheme="minorBidi"/>
          <w:b w:val="0"/>
          <w:noProof/>
          <w:sz w:val="22"/>
          <w:szCs w:val="22"/>
        </w:rPr>
      </w:pPr>
      <w:hyperlink w:anchor="_Toc509576755" w:history="1">
        <w:r w:rsidR="0026102E" w:rsidRPr="00A0594A">
          <w:rPr>
            <w:rStyle w:val="Hyperlink"/>
            <w:noProof/>
          </w:rPr>
          <w:t>4. CPP Ex-Post Load Impact Study Findings</w:t>
        </w:r>
        <w:r w:rsidR="0026102E">
          <w:rPr>
            <w:noProof/>
            <w:webHidden/>
          </w:rPr>
          <w:tab/>
        </w:r>
        <w:r w:rsidR="0026102E">
          <w:rPr>
            <w:noProof/>
            <w:webHidden/>
          </w:rPr>
          <w:fldChar w:fldCharType="begin"/>
        </w:r>
        <w:r w:rsidR="0026102E">
          <w:rPr>
            <w:noProof/>
            <w:webHidden/>
          </w:rPr>
          <w:instrText xml:space="preserve"> PAGEREF _Toc509576755 \h </w:instrText>
        </w:r>
        <w:r w:rsidR="0026102E">
          <w:rPr>
            <w:noProof/>
            <w:webHidden/>
          </w:rPr>
        </w:r>
        <w:r w:rsidR="0026102E">
          <w:rPr>
            <w:noProof/>
            <w:webHidden/>
          </w:rPr>
          <w:fldChar w:fldCharType="separate"/>
        </w:r>
        <w:r w:rsidR="0026102E">
          <w:rPr>
            <w:noProof/>
            <w:webHidden/>
          </w:rPr>
          <w:t>18</w:t>
        </w:r>
        <w:r w:rsidR="0026102E">
          <w:rPr>
            <w:noProof/>
            <w:webHidden/>
          </w:rPr>
          <w:fldChar w:fldCharType="end"/>
        </w:r>
      </w:hyperlink>
    </w:p>
    <w:p w14:paraId="593A18C6" w14:textId="26718863"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56" w:history="1">
        <w:r w:rsidR="0026102E" w:rsidRPr="00A0594A">
          <w:rPr>
            <w:rStyle w:val="Hyperlink"/>
            <w:noProof/>
          </w:rPr>
          <w:t>4.1 Control group matching results</w:t>
        </w:r>
        <w:r w:rsidR="0026102E">
          <w:rPr>
            <w:noProof/>
            <w:webHidden/>
          </w:rPr>
          <w:tab/>
        </w:r>
        <w:r w:rsidR="0026102E">
          <w:rPr>
            <w:noProof/>
            <w:webHidden/>
          </w:rPr>
          <w:fldChar w:fldCharType="begin"/>
        </w:r>
        <w:r w:rsidR="0026102E">
          <w:rPr>
            <w:noProof/>
            <w:webHidden/>
          </w:rPr>
          <w:instrText xml:space="preserve"> PAGEREF _Toc509576756 \h </w:instrText>
        </w:r>
        <w:r w:rsidR="0026102E">
          <w:rPr>
            <w:noProof/>
            <w:webHidden/>
          </w:rPr>
        </w:r>
        <w:r w:rsidR="0026102E">
          <w:rPr>
            <w:noProof/>
            <w:webHidden/>
          </w:rPr>
          <w:fldChar w:fldCharType="separate"/>
        </w:r>
        <w:r w:rsidR="0026102E">
          <w:rPr>
            <w:noProof/>
            <w:webHidden/>
          </w:rPr>
          <w:t>19</w:t>
        </w:r>
        <w:r w:rsidR="0026102E">
          <w:rPr>
            <w:noProof/>
            <w:webHidden/>
          </w:rPr>
          <w:fldChar w:fldCharType="end"/>
        </w:r>
      </w:hyperlink>
    </w:p>
    <w:p w14:paraId="24D55A2B" w14:textId="73575973"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57" w:history="1">
        <w:r w:rsidR="0026102E" w:rsidRPr="00A0594A">
          <w:rPr>
            <w:rStyle w:val="Hyperlink"/>
            <w:noProof/>
          </w:rPr>
          <w:t>4.2 CPP load impacts</w:t>
        </w:r>
        <w:r w:rsidR="0026102E">
          <w:rPr>
            <w:noProof/>
            <w:webHidden/>
          </w:rPr>
          <w:tab/>
        </w:r>
        <w:r w:rsidR="0026102E">
          <w:rPr>
            <w:noProof/>
            <w:webHidden/>
          </w:rPr>
          <w:fldChar w:fldCharType="begin"/>
        </w:r>
        <w:r w:rsidR="0026102E">
          <w:rPr>
            <w:noProof/>
            <w:webHidden/>
          </w:rPr>
          <w:instrText xml:space="preserve"> PAGEREF _Toc509576757 \h </w:instrText>
        </w:r>
        <w:r w:rsidR="0026102E">
          <w:rPr>
            <w:noProof/>
            <w:webHidden/>
          </w:rPr>
        </w:r>
        <w:r w:rsidR="0026102E">
          <w:rPr>
            <w:noProof/>
            <w:webHidden/>
          </w:rPr>
          <w:fldChar w:fldCharType="separate"/>
        </w:r>
        <w:r w:rsidR="0026102E">
          <w:rPr>
            <w:noProof/>
            <w:webHidden/>
          </w:rPr>
          <w:t>19</w:t>
        </w:r>
        <w:r w:rsidR="0026102E">
          <w:rPr>
            <w:noProof/>
            <w:webHidden/>
          </w:rPr>
          <w:fldChar w:fldCharType="end"/>
        </w:r>
      </w:hyperlink>
    </w:p>
    <w:p w14:paraId="27F0EF3A" w14:textId="2D68AAB0"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58" w:history="1">
        <w:r w:rsidR="0026102E" w:rsidRPr="00A0594A">
          <w:rPr>
            <w:rStyle w:val="Hyperlink"/>
            <w:noProof/>
          </w:rPr>
          <w:t>4.3 SCTD Load Impacts</w:t>
        </w:r>
        <w:r w:rsidR="0026102E">
          <w:rPr>
            <w:noProof/>
            <w:webHidden/>
          </w:rPr>
          <w:tab/>
        </w:r>
        <w:r w:rsidR="0026102E">
          <w:rPr>
            <w:noProof/>
            <w:webHidden/>
          </w:rPr>
          <w:fldChar w:fldCharType="begin"/>
        </w:r>
        <w:r w:rsidR="0026102E">
          <w:rPr>
            <w:noProof/>
            <w:webHidden/>
          </w:rPr>
          <w:instrText xml:space="preserve"> PAGEREF _Toc509576758 \h </w:instrText>
        </w:r>
        <w:r w:rsidR="0026102E">
          <w:rPr>
            <w:noProof/>
            <w:webHidden/>
          </w:rPr>
        </w:r>
        <w:r w:rsidR="0026102E">
          <w:rPr>
            <w:noProof/>
            <w:webHidden/>
          </w:rPr>
          <w:fldChar w:fldCharType="separate"/>
        </w:r>
        <w:r w:rsidR="0026102E">
          <w:rPr>
            <w:noProof/>
            <w:webHidden/>
          </w:rPr>
          <w:t>21</w:t>
        </w:r>
        <w:r w:rsidR="0026102E">
          <w:rPr>
            <w:noProof/>
            <w:webHidden/>
          </w:rPr>
          <w:fldChar w:fldCharType="end"/>
        </w:r>
      </w:hyperlink>
    </w:p>
    <w:p w14:paraId="6116421C" w14:textId="5E28A7DE" w:rsidR="0026102E" w:rsidRDefault="002C1FA8">
      <w:pPr>
        <w:pStyle w:val="TOC1"/>
        <w:rPr>
          <w:rFonts w:asciiTheme="minorHAnsi" w:eastAsiaTheme="minorEastAsia" w:hAnsiTheme="minorHAnsi" w:cstheme="minorBidi"/>
          <w:b w:val="0"/>
          <w:noProof/>
          <w:sz w:val="22"/>
          <w:szCs w:val="22"/>
        </w:rPr>
      </w:pPr>
      <w:hyperlink w:anchor="_Toc509576759" w:history="1">
        <w:r w:rsidR="0026102E" w:rsidRPr="00A0594A">
          <w:rPr>
            <w:rStyle w:val="Hyperlink"/>
            <w:noProof/>
          </w:rPr>
          <w:t>5. TOU Ex-Post Load Impact Study Findings</w:t>
        </w:r>
        <w:r w:rsidR="0026102E">
          <w:rPr>
            <w:noProof/>
            <w:webHidden/>
          </w:rPr>
          <w:tab/>
        </w:r>
        <w:r w:rsidR="0026102E">
          <w:rPr>
            <w:noProof/>
            <w:webHidden/>
          </w:rPr>
          <w:fldChar w:fldCharType="begin"/>
        </w:r>
        <w:r w:rsidR="0026102E">
          <w:rPr>
            <w:noProof/>
            <w:webHidden/>
          </w:rPr>
          <w:instrText xml:space="preserve"> PAGEREF _Toc509576759 \h </w:instrText>
        </w:r>
        <w:r w:rsidR="0026102E">
          <w:rPr>
            <w:noProof/>
            <w:webHidden/>
          </w:rPr>
        </w:r>
        <w:r w:rsidR="0026102E">
          <w:rPr>
            <w:noProof/>
            <w:webHidden/>
          </w:rPr>
          <w:fldChar w:fldCharType="separate"/>
        </w:r>
        <w:r w:rsidR="0026102E">
          <w:rPr>
            <w:noProof/>
            <w:webHidden/>
          </w:rPr>
          <w:t>23</w:t>
        </w:r>
        <w:r w:rsidR="0026102E">
          <w:rPr>
            <w:noProof/>
            <w:webHidden/>
          </w:rPr>
          <w:fldChar w:fldCharType="end"/>
        </w:r>
      </w:hyperlink>
    </w:p>
    <w:p w14:paraId="2DF3154C" w14:textId="0F737EB3"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60" w:history="1">
        <w:r w:rsidR="0026102E" w:rsidRPr="00A0594A">
          <w:rPr>
            <w:rStyle w:val="Hyperlink"/>
            <w:noProof/>
          </w:rPr>
          <w:t>5.1 TOU control group matching results for TOU customers</w:t>
        </w:r>
        <w:r w:rsidR="0026102E">
          <w:rPr>
            <w:noProof/>
            <w:webHidden/>
          </w:rPr>
          <w:tab/>
        </w:r>
        <w:r w:rsidR="0026102E">
          <w:rPr>
            <w:noProof/>
            <w:webHidden/>
          </w:rPr>
          <w:fldChar w:fldCharType="begin"/>
        </w:r>
        <w:r w:rsidR="0026102E">
          <w:rPr>
            <w:noProof/>
            <w:webHidden/>
          </w:rPr>
          <w:instrText xml:space="preserve"> PAGEREF _Toc509576760 \h </w:instrText>
        </w:r>
        <w:r w:rsidR="0026102E">
          <w:rPr>
            <w:noProof/>
            <w:webHidden/>
          </w:rPr>
        </w:r>
        <w:r w:rsidR="0026102E">
          <w:rPr>
            <w:noProof/>
            <w:webHidden/>
          </w:rPr>
          <w:fldChar w:fldCharType="separate"/>
        </w:r>
        <w:r w:rsidR="0026102E">
          <w:rPr>
            <w:noProof/>
            <w:webHidden/>
          </w:rPr>
          <w:t>23</w:t>
        </w:r>
        <w:r w:rsidR="0026102E">
          <w:rPr>
            <w:noProof/>
            <w:webHidden/>
          </w:rPr>
          <w:fldChar w:fldCharType="end"/>
        </w:r>
      </w:hyperlink>
    </w:p>
    <w:p w14:paraId="6184D861" w14:textId="180B6A74"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61" w:history="1">
        <w:r w:rsidR="0026102E" w:rsidRPr="00A0594A">
          <w:rPr>
            <w:rStyle w:val="Hyperlink"/>
            <w:noProof/>
          </w:rPr>
          <w:t>5.2 Ex-post TOU load impacts for TOU customers</w:t>
        </w:r>
        <w:r w:rsidR="0026102E">
          <w:rPr>
            <w:noProof/>
            <w:webHidden/>
          </w:rPr>
          <w:tab/>
        </w:r>
        <w:r w:rsidR="0026102E">
          <w:rPr>
            <w:noProof/>
            <w:webHidden/>
          </w:rPr>
          <w:fldChar w:fldCharType="begin"/>
        </w:r>
        <w:r w:rsidR="0026102E">
          <w:rPr>
            <w:noProof/>
            <w:webHidden/>
          </w:rPr>
          <w:instrText xml:space="preserve"> PAGEREF _Toc509576761 \h </w:instrText>
        </w:r>
        <w:r w:rsidR="0026102E">
          <w:rPr>
            <w:noProof/>
            <w:webHidden/>
          </w:rPr>
        </w:r>
        <w:r w:rsidR="0026102E">
          <w:rPr>
            <w:noProof/>
            <w:webHidden/>
          </w:rPr>
          <w:fldChar w:fldCharType="separate"/>
        </w:r>
        <w:r w:rsidR="0026102E">
          <w:rPr>
            <w:noProof/>
            <w:webHidden/>
          </w:rPr>
          <w:t>25</w:t>
        </w:r>
        <w:r w:rsidR="0026102E">
          <w:rPr>
            <w:noProof/>
            <w:webHidden/>
          </w:rPr>
          <w:fldChar w:fldCharType="end"/>
        </w:r>
      </w:hyperlink>
    </w:p>
    <w:p w14:paraId="406DDDED" w14:textId="3989D113"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62" w:history="1">
        <w:r w:rsidR="0026102E" w:rsidRPr="00A0594A">
          <w:rPr>
            <w:rStyle w:val="Hyperlink"/>
            <w:noProof/>
          </w:rPr>
          <w:t>5.3 TOU control group matching results for CPP customers</w:t>
        </w:r>
        <w:r w:rsidR="0026102E">
          <w:rPr>
            <w:noProof/>
            <w:webHidden/>
          </w:rPr>
          <w:tab/>
        </w:r>
        <w:r w:rsidR="0026102E">
          <w:rPr>
            <w:noProof/>
            <w:webHidden/>
          </w:rPr>
          <w:fldChar w:fldCharType="begin"/>
        </w:r>
        <w:r w:rsidR="0026102E">
          <w:rPr>
            <w:noProof/>
            <w:webHidden/>
          </w:rPr>
          <w:instrText xml:space="preserve"> PAGEREF _Toc509576762 \h </w:instrText>
        </w:r>
        <w:r w:rsidR="0026102E">
          <w:rPr>
            <w:noProof/>
            <w:webHidden/>
          </w:rPr>
        </w:r>
        <w:r w:rsidR="0026102E">
          <w:rPr>
            <w:noProof/>
            <w:webHidden/>
          </w:rPr>
          <w:fldChar w:fldCharType="separate"/>
        </w:r>
        <w:r w:rsidR="0026102E">
          <w:rPr>
            <w:noProof/>
            <w:webHidden/>
          </w:rPr>
          <w:t>29</w:t>
        </w:r>
        <w:r w:rsidR="0026102E">
          <w:rPr>
            <w:noProof/>
            <w:webHidden/>
          </w:rPr>
          <w:fldChar w:fldCharType="end"/>
        </w:r>
      </w:hyperlink>
    </w:p>
    <w:p w14:paraId="51E79B06" w14:textId="348E784A"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63" w:history="1">
        <w:r w:rsidR="0026102E" w:rsidRPr="00A0594A">
          <w:rPr>
            <w:rStyle w:val="Hyperlink"/>
            <w:noProof/>
          </w:rPr>
          <w:t>5.4 Ex-post TOU load impacts for CPP customers</w:t>
        </w:r>
        <w:r w:rsidR="0026102E">
          <w:rPr>
            <w:noProof/>
            <w:webHidden/>
          </w:rPr>
          <w:tab/>
        </w:r>
        <w:r w:rsidR="0026102E">
          <w:rPr>
            <w:noProof/>
            <w:webHidden/>
          </w:rPr>
          <w:fldChar w:fldCharType="begin"/>
        </w:r>
        <w:r w:rsidR="0026102E">
          <w:rPr>
            <w:noProof/>
            <w:webHidden/>
          </w:rPr>
          <w:instrText xml:space="preserve"> PAGEREF _Toc509576763 \h </w:instrText>
        </w:r>
        <w:r w:rsidR="0026102E">
          <w:rPr>
            <w:noProof/>
            <w:webHidden/>
          </w:rPr>
        </w:r>
        <w:r w:rsidR="0026102E">
          <w:rPr>
            <w:noProof/>
            <w:webHidden/>
          </w:rPr>
          <w:fldChar w:fldCharType="separate"/>
        </w:r>
        <w:r w:rsidR="0026102E">
          <w:rPr>
            <w:noProof/>
            <w:webHidden/>
          </w:rPr>
          <w:t>30</w:t>
        </w:r>
        <w:r w:rsidR="0026102E">
          <w:rPr>
            <w:noProof/>
            <w:webHidden/>
          </w:rPr>
          <w:fldChar w:fldCharType="end"/>
        </w:r>
      </w:hyperlink>
    </w:p>
    <w:p w14:paraId="3D330B6C" w14:textId="11331FF1" w:rsidR="0026102E" w:rsidRDefault="002C1FA8">
      <w:pPr>
        <w:pStyle w:val="TOC1"/>
        <w:rPr>
          <w:rFonts w:asciiTheme="minorHAnsi" w:eastAsiaTheme="minorEastAsia" w:hAnsiTheme="minorHAnsi" w:cstheme="minorBidi"/>
          <w:b w:val="0"/>
          <w:noProof/>
          <w:sz w:val="22"/>
          <w:szCs w:val="22"/>
        </w:rPr>
      </w:pPr>
      <w:hyperlink w:anchor="_Toc509576764" w:history="1">
        <w:r w:rsidR="0026102E" w:rsidRPr="00A0594A">
          <w:rPr>
            <w:rStyle w:val="Hyperlink"/>
            <w:noProof/>
          </w:rPr>
          <w:t>6. Ex-Ante Load Impacts</w:t>
        </w:r>
        <w:r w:rsidR="0026102E">
          <w:rPr>
            <w:noProof/>
            <w:webHidden/>
          </w:rPr>
          <w:tab/>
        </w:r>
        <w:r w:rsidR="0026102E">
          <w:rPr>
            <w:noProof/>
            <w:webHidden/>
          </w:rPr>
          <w:fldChar w:fldCharType="begin"/>
        </w:r>
        <w:r w:rsidR="0026102E">
          <w:rPr>
            <w:noProof/>
            <w:webHidden/>
          </w:rPr>
          <w:instrText xml:space="preserve"> PAGEREF _Toc509576764 \h </w:instrText>
        </w:r>
        <w:r w:rsidR="0026102E">
          <w:rPr>
            <w:noProof/>
            <w:webHidden/>
          </w:rPr>
        </w:r>
        <w:r w:rsidR="0026102E">
          <w:rPr>
            <w:noProof/>
            <w:webHidden/>
          </w:rPr>
          <w:fldChar w:fldCharType="separate"/>
        </w:r>
        <w:r w:rsidR="0026102E">
          <w:rPr>
            <w:noProof/>
            <w:webHidden/>
          </w:rPr>
          <w:t>34</w:t>
        </w:r>
        <w:r w:rsidR="0026102E">
          <w:rPr>
            <w:noProof/>
            <w:webHidden/>
          </w:rPr>
          <w:fldChar w:fldCharType="end"/>
        </w:r>
      </w:hyperlink>
    </w:p>
    <w:p w14:paraId="6A4A0AB2" w14:textId="3D53C852"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65" w:history="1">
        <w:r w:rsidR="0026102E" w:rsidRPr="00A0594A">
          <w:rPr>
            <w:rStyle w:val="Hyperlink"/>
            <w:noProof/>
          </w:rPr>
          <w:t>6.1 Methodology</w:t>
        </w:r>
        <w:r w:rsidR="0026102E">
          <w:rPr>
            <w:noProof/>
            <w:webHidden/>
          </w:rPr>
          <w:tab/>
        </w:r>
        <w:r w:rsidR="0026102E">
          <w:rPr>
            <w:noProof/>
            <w:webHidden/>
          </w:rPr>
          <w:fldChar w:fldCharType="begin"/>
        </w:r>
        <w:r w:rsidR="0026102E">
          <w:rPr>
            <w:noProof/>
            <w:webHidden/>
          </w:rPr>
          <w:instrText xml:space="preserve"> PAGEREF _Toc509576765 \h </w:instrText>
        </w:r>
        <w:r w:rsidR="0026102E">
          <w:rPr>
            <w:noProof/>
            <w:webHidden/>
          </w:rPr>
        </w:r>
        <w:r w:rsidR="0026102E">
          <w:rPr>
            <w:noProof/>
            <w:webHidden/>
          </w:rPr>
          <w:fldChar w:fldCharType="separate"/>
        </w:r>
        <w:r w:rsidR="0026102E">
          <w:rPr>
            <w:noProof/>
            <w:webHidden/>
          </w:rPr>
          <w:t>34</w:t>
        </w:r>
        <w:r w:rsidR="0026102E">
          <w:rPr>
            <w:noProof/>
            <w:webHidden/>
          </w:rPr>
          <w:fldChar w:fldCharType="end"/>
        </w:r>
      </w:hyperlink>
    </w:p>
    <w:p w14:paraId="35892E0C" w14:textId="0702D246" w:rsidR="0026102E" w:rsidRDefault="002C1FA8">
      <w:pPr>
        <w:pStyle w:val="TOC3"/>
        <w:rPr>
          <w:rFonts w:asciiTheme="minorHAnsi" w:eastAsiaTheme="minorEastAsia" w:hAnsiTheme="minorHAnsi" w:cstheme="minorBidi"/>
          <w:noProof/>
          <w:sz w:val="22"/>
          <w:szCs w:val="22"/>
        </w:rPr>
      </w:pPr>
      <w:hyperlink w:anchor="_Toc509576766" w:history="1">
        <w:r w:rsidR="0026102E" w:rsidRPr="00A0594A">
          <w:rPr>
            <w:rStyle w:val="Hyperlink"/>
            <w:noProof/>
          </w:rPr>
          <w:t>6.1.1 Per-customer load impacts</w:t>
        </w:r>
        <w:r w:rsidR="0026102E">
          <w:rPr>
            <w:noProof/>
            <w:webHidden/>
          </w:rPr>
          <w:tab/>
        </w:r>
        <w:r w:rsidR="0026102E">
          <w:rPr>
            <w:noProof/>
            <w:webHidden/>
          </w:rPr>
          <w:fldChar w:fldCharType="begin"/>
        </w:r>
        <w:r w:rsidR="0026102E">
          <w:rPr>
            <w:noProof/>
            <w:webHidden/>
          </w:rPr>
          <w:instrText xml:space="preserve"> PAGEREF _Toc509576766 \h </w:instrText>
        </w:r>
        <w:r w:rsidR="0026102E">
          <w:rPr>
            <w:noProof/>
            <w:webHidden/>
          </w:rPr>
        </w:r>
        <w:r w:rsidR="0026102E">
          <w:rPr>
            <w:noProof/>
            <w:webHidden/>
          </w:rPr>
          <w:fldChar w:fldCharType="separate"/>
        </w:r>
        <w:r w:rsidR="0026102E">
          <w:rPr>
            <w:noProof/>
            <w:webHidden/>
          </w:rPr>
          <w:t>34</w:t>
        </w:r>
        <w:r w:rsidR="0026102E">
          <w:rPr>
            <w:noProof/>
            <w:webHidden/>
          </w:rPr>
          <w:fldChar w:fldCharType="end"/>
        </w:r>
      </w:hyperlink>
    </w:p>
    <w:p w14:paraId="6AB864F6" w14:textId="1CA019C9" w:rsidR="0026102E" w:rsidRDefault="002C1FA8">
      <w:pPr>
        <w:pStyle w:val="TOC3"/>
        <w:rPr>
          <w:rFonts w:asciiTheme="minorHAnsi" w:eastAsiaTheme="minorEastAsia" w:hAnsiTheme="minorHAnsi" w:cstheme="minorBidi"/>
          <w:noProof/>
          <w:sz w:val="22"/>
          <w:szCs w:val="22"/>
        </w:rPr>
      </w:pPr>
      <w:hyperlink w:anchor="_Toc509576767" w:history="1">
        <w:r w:rsidR="0026102E" w:rsidRPr="00A0594A">
          <w:rPr>
            <w:rStyle w:val="Hyperlink"/>
            <w:noProof/>
          </w:rPr>
          <w:t>6.1.2 Per-customer reference loads</w:t>
        </w:r>
        <w:r w:rsidR="0026102E">
          <w:rPr>
            <w:noProof/>
            <w:webHidden/>
          </w:rPr>
          <w:tab/>
        </w:r>
        <w:r w:rsidR="0026102E">
          <w:rPr>
            <w:noProof/>
            <w:webHidden/>
          </w:rPr>
          <w:fldChar w:fldCharType="begin"/>
        </w:r>
        <w:r w:rsidR="0026102E">
          <w:rPr>
            <w:noProof/>
            <w:webHidden/>
          </w:rPr>
          <w:instrText xml:space="preserve"> PAGEREF _Toc509576767 \h </w:instrText>
        </w:r>
        <w:r w:rsidR="0026102E">
          <w:rPr>
            <w:noProof/>
            <w:webHidden/>
          </w:rPr>
        </w:r>
        <w:r w:rsidR="0026102E">
          <w:rPr>
            <w:noProof/>
            <w:webHidden/>
          </w:rPr>
          <w:fldChar w:fldCharType="separate"/>
        </w:r>
        <w:r w:rsidR="0026102E">
          <w:rPr>
            <w:noProof/>
            <w:webHidden/>
          </w:rPr>
          <w:t>36</w:t>
        </w:r>
        <w:r w:rsidR="0026102E">
          <w:rPr>
            <w:noProof/>
            <w:webHidden/>
          </w:rPr>
          <w:fldChar w:fldCharType="end"/>
        </w:r>
      </w:hyperlink>
    </w:p>
    <w:p w14:paraId="3F063312" w14:textId="66A88AC6" w:rsidR="0026102E" w:rsidRDefault="002C1FA8">
      <w:pPr>
        <w:pStyle w:val="TOC3"/>
        <w:rPr>
          <w:rFonts w:asciiTheme="minorHAnsi" w:eastAsiaTheme="minorEastAsia" w:hAnsiTheme="minorHAnsi" w:cstheme="minorBidi"/>
          <w:noProof/>
          <w:sz w:val="22"/>
          <w:szCs w:val="22"/>
        </w:rPr>
      </w:pPr>
      <w:hyperlink w:anchor="_Toc509576768" w:history="1">
        <w:r w:rsidR="0026102E" w:rsidRPr="00A0594A">
          <w:rPr>
            <w:rStyle w:val="Hyperlink"/>
            <w:noProof/>
          </w:rPr>
          <w:t>6.1.3 Enrollment forecast</w:t>
        </w:r>
        <w:r w:rsidR="0026102E">
          <w:rPr>
            <w:noProof/>
            <w:webHidden/>
          </w:rPr>
          <w:tab/>
        </w:r>
        <w:r w:rsidR="0026102E">
          <w:rPr>
            <w:noProof/>
            <w:webHidden/>
          </w:rPr>
          <w:fldChar w:fldCharType="begin"/>
        </w:r>
        <w:r w:rsidR="0026102E">
          <w:rPr>
            <w:noProof/>
            <w:webHidden/>
          </w:rPr>
          <w:instrText xml:space="preserve"> PAGEREF _Toc509576768 \h </w:instrText>
        </w:r>
        <w:r w:rsidR="0026102E">
          <w:rPr>
            <w:noProof/>
            <w:webHidden/>
          </w:rPr>
        </w:r>
        <w:r w:rsidR="0026102E">
          <w:rPr>
            <w:noProof/>
            <w:webHidden/>
          </w:rPr>
          <w:fldChar w:fldCharType="separate"/>
        </w:r>
        <w:r w:rsidR="0026102E">
          <w:rPr>
            <w:noProof/>
            <w:webHidden/>
          </w:rPr>
          <w:t>37</w:t>
        </w:r>
        <w:r w:rsidR="0026102E">
          <w:rPr>
            <w:noProof/>
            <w:webHidden/>
          </w:rPr>
          <w:fldChar w:fldCharType="end"/>
        </w:r>
      </w:hyperlink>
    </w:p>
    <w:p w14:paraId="6BE1FD1F" w14:textId="5079D471"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69" w:history="1">
        <w:r w:rsidR="0026102E" w:rsidRPr="00A0594A">
          <w:rPr>
            <w:rStyle w:val="Hyperlink"/>
            <w:noProof/>
          </w:rPr>
          <w:t>6.2 Ex-Ante load impacts – Residential CPP</w:t>
        </w:r>
        <w:r w:rsidR="0026102E">
          <w:rPr>
            <w:noProof/>
            <w:webHidden/>
          </w:rPr>
          <w:tab/>
        </w:r>
        <w:r w:rsidR="0026102E">
          <w:rPr>
            <w:noProof/>
            <w:webHidden/>
          </w:rPr>
          <w:fldChar w:fldCharType="begin"/>
        </w:r>
        <w:r w:rsidR="0026102E">
          <w:rPr>
            <w:noProof/>
            <w:webHidden/>
          </w:rPr>
          <w:instrText xml:space="preserve"> PAGEREF _Toc509576769 \h </w:instrText>
        </w:r>
        <w:r w:rsidR="0026102E">
          <w:rPr>
            <w:noProof/>
            <w:webHidden/>
          </w:rPr>
        </w:r>
        <w:r w:rsidR="0026102E">
          <w:rPr>
            <w:noProof/>
            <w:webHidden/>
          </w:rPr>
          <w:fldChar w:fldCharType="separate"/>
        </w:r>
        <w:r w:rsidR="0026102E">
          <w:rPr>
            <w:noProof/>
            <w:webHidden/>
          </w:rPr>
          <w:t>37</w:t>
        </w:r>
        <w:r w:rsidR="0026102E">
          <w:rPr>
            <w:noProof/>
            <w:webHidden/>
          </w:rPr>
          <w:fldChar w:fldCharType="end"/>
        </w:r>
      </w:hyperlink>
    </w:p>
    <w:p w14:paraId="57B88852" w14:textId="242BD465"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70" w:history="1">
        <w:r w:rsidR="0026102E" w:rsidRPr="00A0594A">
          <w:rPr>
            <w:rStyle w:val="Hyperlink"/>
            <w:noProof/>
          </w:rPr>
          <w:t>6.3 Ex-Ante load impacts – Residential TOU</w:t>
        </w:r>
        <w:r w:rsidR="0026102E">
          <w:rPr>
            <w:noProof/>
            <w:webHidden/>
          </w:rPr>
          <w:tab/>
        </w:r>
        <w:r w:rsidR="0026102E">
          <w:rPr>
            <w:noProof/>
            <w:webHidden/>
          </w:rPr>
          <w:fldChar w:fldCharType="begin"/>
        </w:r>
        <w:r w:rsidR="0026102E">
          <w:rPr>
            <w:noProof/>
            <w:webHidden/>
          </w:rPr>
          <w:instrText xml:space="preserve"> PAGEREF _Toc509576770 \h </w:instrText>
        </w:r>
        <w:r w:rsidR="0026102E">
          <w:rPr>
            <w:noProof/>
            <w:webHidden/>
          </w:rPr>
        </w:r>
        <w:r w:rsidR="0026102E">
          <w:rPr>
            <w:noProof/>
            <w:webHidden/>
          </w:rPr>
          <w:fldChar w:fldCharType="separate"/>
        </w:r>
        <w:r w:rsidR="0026102E">
          <w:rPr>
            <w:noProof/>
            <w:webHidden/>
          </w:rPr>
          <w:t>40</w:t>
        </w:r>
        <w:r w:rsidR="0026102E">
          <w:rPr>
            <w:noProof/>
            <w:webHidden/>
          </w:rPr>
          <w:fldChar w:fldCharType="end"/>
        </w:r>
      </w:hyperlink>
    </w:p>
    <w:p w14:paraId="5D528795" w14:textId="4AC29C76" w:rsidR="0026102E" w:rsidRDefault="002C1FA8">
      <w:pPr>
        <w:pStyle w:val="TOC1"/>
        <w:rPr>
          <w:rFonts w:asciiTheme="minorHAnsi" w:eastAsiaTheme="minorEastAsia" w:hAnsiTheme="minorHAnsi" w:cstheme="minorBidi"/>
          <w:b w:val="0"/>
          <w:noProof/>
          <w:sz w:val="22"/>
          <w:szCs w:val="22"/>
        </w:rPr>
      </w:pPr>
      <w:hyperlink w:anchor="_Toc509576771" w:history="1">
        <w:r w:rsidR="0026102E" w:rsidRPr="00A0594A">
          <w:rPr>
            <w:rStyle w:val="Hyperlink"/>
            <w:noProof/>
          </w:rPr>
          <w:t>7. Comparisons of Results</w:t>
        </w:r>
        <w:r w:rsidR="0026102E">
          <w:rPr>
            <w:noProof/>
            <w:webHidden/>
          </w:rPr>
          <w:tab/>
        </w:r>
        <w:r w:rsidR="0026102E">
          <w:rPr>
            <w:noProof/>
            <w:webHidden/>
          </w:rPr>
          <w:fldChar w:fldCharType="begin"/>
        </w:r>
        <w:r w:rsidR="0026102E">
          <w:rPr>
            <w:noProof/>
            <w:webHidden/>
          </w:rPr>
          <w:instrText xml:space="preserve"> PAGEREF _Toc509576771 \h </w:instrText>
        </w:r>
        <w:r w:rsidR="0026102E">
          <w:rPr>
            <w:noProof/>
            <w:webHidden/>
          </w:rPr>
        </w:r>
        <w:r w:rsidR="0026102E">
          <w:rPr>
            <w:noProof/>
            <w:webHidden/>
          </w:rPr>
          <w:fldChar w:fldCharType="separate"/>
        </w:r>
        <w:r w:rsidR="0026102E">
          <w:rPr>
            <w:noProof/>
            <w:webHidden/>
          </w:rPr>
          <w:t>43</w:t>
        </w:r>
        <w:r w:rsidR="0026102E">
          <w:rPr>
            <w:noProof/>
            <w:webHidden/>
          </w:rPr>
          <w:fldChar w:fldCharType="end"/>
        </w:r>
      </w:hyperlink>
    </w:p>
    <w:p w14:paraId="42283825" w14:textId="6C973DE7"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72" w:history="1">
        <w:r w:rsidR="0026102E" w:rsidRPr="00A0594A">
          <w:rPr>
            <w:rStyle w:val="Hyperlink"/>
            <w:noProof/>
          </w:rPr>
          <w:t>7.1 Residential CPP</w:t>
        </w:r>
        <w:r w:rsidR="0026102E">
          <w:rPr>
            <w:noProof/>
            <w:webHidden/>
          </w:rPr>
          <w:tab/>
        </w:r>
        <w:r w:rsidR="0026102E">
          <w:rPr>
            <w:noProof/>
            <w:webHidden/>
          </w:rPr>
          <w:fldChar w:fldCharType="begin"/>
        </w:r>
        <w:r w:rsidR="0026102E">
          <w:rPr>
            <w:noProof/>
            <w:webHidden/>
          </w:rPr>
          <w:instrText xml:space="preserve"> PAGEREF _Toc509576772 \h </w:instrText>
        </w:r>
        <w:r w:rsidR="0026102E">
          <w:rPr>
            <w:noProof/>
            <w:webHidden/>
          </w:rPr>
        </w:r>
        <w:r w:rsidR="0026102E">
          <w:rPr>
            <w:noProof/>
            <w:webHidden/>
          </w:rPr>
          <w:fldChar w:fldCharType="separate"/>
        </w:r>
        <w:r w:rsidR="0026102E">
          <w:rPr>
            <w:noProof/>
            <w:webHidden/>
          </w:rPr>
          <w:t>43</w:t>
        </w:r>
        <w:r w:rsidR="0026102E">
          <w:rPr>
            <w:noProof/>
            <w:webHidden/>
          </w:rPr>
          <w:fldChar w:fldCharType="end"/>
        </w:r>
      </w:hyperlink>
    </w:p>
    <w:p w14:paraId="1BFEB531" w14:textId="22444815" w:rsidR="0026102E" w:rsidRDefault="002C1FA8">
      <w:pPr>
        <w:pStyle w:val="TOC3"/>
        <w:rPr>
          <w:rFonts w:asciiTheme="minorHAnsi" w:eastAsiaTheme="minorEastAsia" w:hAnsiTheme="minorHAnsi" w:cstheme="minorBidi"/>
          <w:noProof/>
          <w:sz w:val="22"/>
          <w:szCs w:val="22"/>
        </w:rPr>
      </w:pPr>
      <w:hyperlink w:anchor="_Toc509576773" w:history="1">
        <w:r w:rsidR="0026102E" w:rsidRPr="00A0594A">
          <w:rPr>
            <w:rStyle w:val="Hyperlink"/>
            <w:noProof/>
          </w:rPr>
          <w:t>7.1.1 Previous versus current ex-post</w:t>
        </w:r>
        <w:r w:rsidR="0026102E">
          <w:rPr>
            <w:noProof/>
            <w:webHidden/>
          </w:rPr>
          <w:tab/>
        </w:r>
        <w:r w:rsidR="0026102E">
          <w:rPr>
            <w:noProof/>
            <w:webHidden/>
          </w:rPr>
          <w:fldChar w:fldCharType="begin"/>
        </w:r>
        <w:r w:rsidR="0026102E">
          <w:rPr>
            <w:noProof/>
            <w:webHidden/>
          </w:rPr>
          <w:instrText xml:space="preserve"> PAGEREF _Toc509576773 \h </w:instrText>
        </w:r>
        <w:r w:rsidR="0026102E">
          <w:rPr>
            <w:noProof/>
            <w:webHidden/>
          </w:rPr>
        </w:r>
        <w:r w:rsidR="0026102E">
          <w:rPr>
            <w:noProof/>
            <w:webHidden/>
          </w:rPr>
          <w:fldChar w:fldCharType="separate"/>
        </w:r>
        <w:r w:rsidR="0026102E">
          <w:rPr>
            <w:noProof/>
            <w:webHidden/>
          </w:rPr>
          <w:t>43</w:t>
        </w:r>
        <w:r w:rsidR="0026102E">
          <w:rPr>
            <w:noProof/>
            <w:webHidden/>
          </w:rPr>
          <w:fldChar w:fldCharType="end"/>
        </w:r>
      </w:hyperlink>
    </w:p>
    <w:p w14:paraId="1579D2CC" w14:textId="2076A98C" w:rsidR="0026102E" w:rsidRDefault="002C1FA8">
      <w:pPr>
        <w:pStyle w:val="TOC3"/>
        <w:rPr>
          <w:rFonts w:asciiTheme="minorHAnsi" w:eastAsiaTheme="minorEastAsia" w:hAnsiTheme="minorHAnsi" w:cstheme="minorBidi"/>
          <w:noProof/>
          <w:sz w:val="22"/>
          <w:szCs w:val="22"/>
        </w:rPr>
      </w:pPr>
      <w:hyperlink w:anchor="_Toc509576774" w:history="1">
        <w:r w:rsidR="0026102E" w:rsidRPr="00A0594A">
          <w:rPr>
            <w:rStyle w:val="Hyperlink"/>
            <w:noProof/>
          </w:rPr>
          <w:t>7.1.2 Previous versus current ex-ante</w:t>
        </w:r>
        <w:r w:rsidR="0026102E">
          <w:rPr>
            <w:noProof/>
            <w:webHidden/>
          </w:rPr>
          <w:tab/>
        </w:r>
        <w:r w:rsidR="0026102E">
          <w:rPr>
            <w:noProof/>
            <w:webHidden/>
          </w:rPr>
          <w:fldChar w:fldCharType="begin"/>
        </w:r>
        <w:r w:rsidR="0026102E">
          <w:rPr>
            <w:noProof/>
            <w:webHidden/>
          </w:rPr>
          <w:instrText xml:space="preserve"> PAGEREF _Toc509576774 \h </w:instrText>
        </w:r>
        <w:r w:rsidR="0026102E">
          <w:rPr>
            <w:noProof/>
            <w:webHidden/>
          </w:rPr>
        </w:r>
        <w:r w:rsidR="0026102E">
          <w:rPr>
            <w:noProof/>
            <w:webHidden/>
          </w:rPr>
          <w:fldChar w:fldCharType="separate"/>
        </w:r>
        <w:r w:rsidR="0026102E">
          <w:rPr>
            <w:noProof/>
            <w:webHidden/>
          </w:rPr>
          <w:t>44</w:t>
        </w:r>
        <w:r w:rsidR="0026102E">
          <w:rPr>
            <w:noProof/>
            <w:webHidden/>
          </w:rPr>
          <w:fldChar w:fldCharType="end"/>
        </w:r>
      </w:hyperlink>
    </w:p>
    <w:p w14:paraId="7D98A636" w14:textId="5A91064D" w:rsidR="0026102E" w:rsidRDefault="002C1FA8">
      <w:pPr>
        <w:pStyle w:val="TOC3"/>
        <w:rPr>
          <w:rFonts w:asciiTheme="minorHAnsi" w:eastAsiaTheme="minorEastAsia" w:hAnsiTheme="minorHAnsi" w:cstheme="minorBidi"/>
          <w:noProof/>
          <w:sz w:val="22"/>
          <w:szCs w:val="22"/>
        </w:rPr>
      </w:pPr>
      <w:hyperlink w:anchor="_Toc509576775" w:history="1">
        <w:r w:rsidR="0026102E" w:rsidRPr="00A0594A">
          <w:rPr>
            <w:rStyle w:val="Hyperlink"/>
            <w:noProof/>
          </w:rPr>
          <w:t>7.1.3 Previous ex-ante versus current ex-post</w:t>
        </w:r>
        <w:r w:rsidR="0026102E">
          <w:rPr>
            <w:noProof/>
            <w:webHidden/>
          </w:rPr>
          <w:tab/>
        </w:r>
        <w:r w:rsidR="0026102E">
          <w:rPr>
            <w:noProof/>
            <w:webHidden/>
          </w:rPr>
          <w:fldChar w:fldCharType="begin"/>
        </w:r>
        <w:r w:rsidR="0026102E">
          <w:rPr>
            <w:noProof/>
            <w:webHidden/>
          </w:rPr>
          <w:instrText xml:space="preserve"> PAGEREF _Toc509576775 \h </w:instrText>
        </w:r>
        <w:r w:rsidR="0026102E">
          <w:rPr>
            <w:noProof/>
            <w:webHidden/>
          </w:rPr>
        </w:r>
        <w:r w:rsidR="0026102E">
          <w:rPr>
            <w:noProof/>
            <w:webHidden/>
          </w:rPr>
          <w:fldChar w:fldCharType="separate"/>
        </w:r>
        <w:r w:rsidR="0026102E">
          <w:rPr>
            <w:noProof/>
            <w:webHidden/>
          </w:rPr>
          <w:t>44</w:t>
        </w:r>
        <w:r w:rsidR="0026102E">
          <w:rPr>
            <w:noProof/>
            <w:webHidden/>
          </w:rPr>
          <w:fldChar w:fldCharType="end"/>
        </w:r>
      </w:hyperlink>
    </w:p>
    <w:p w14:paraId="642D581B" w14:textId="30B0B1C0" w:rsidR="0026102E" w:rsidRDefault="002C1FA8">
      <w:pPr>
        <w:pStyle w:val="TOC3"/>
        <w:rPr>
          <w:rFonts w:asciiTheme="minorHAnsi" w:eastAsiaTheme="minorEastAsia" w:hAnsiTheme="minorHAnsi" w:cstheme="minorBidi"/>
          <w:noProof/>
          <w:sz w:val="22"/>
          <w:szCs w:val="22"/>
        </w:rPr>
      </w:pPr>
      <w:hyperlink w:anchor="_Toc509576776" w:history="1">
        <w:r w:rsidR="0026102E" w:rsidRPr="00A0594A">
          <w:rPr>
            <w:rStyle w:val="Hyperlink"/>
            <w:noProof/>
          </w:rPr>
          <w:t>7.1.4 Current ex-post versus current ex-ante</w:t>
        </w:r>
        <w:r w:rsidR="0026102E">
          <w:rPr>
            <w:noProof/>
            <w:webHidden/>
          </w:rPr>
          <w:tab/>
        </w:r>
        <w:r w:rsidR="0026102E">
          <w:rPr>
            <w:noProof/>
            <w:webHidden/>
          </w:rPr>
          <w:fldChar w:fldCharType="begin"/>
        </w:r>
        <w:r w:rsidR="0026102E">
          <w:rPr>
            <w:noProof/>
            <w:webHidden/>
          </w:rPr>
          <w:instrText xml:space="preserve"> PAGEREF _Toc509576776 \h </w:instrText>
        </w:r>
        <w:r w:rsidR="0026102E">
          <w:rPr>
            <w:noProof/>
            <w:webHidden/>
          </w:rPr>
        </w:r>
        <w:r w:rsidR="0026102E">
          <w:rPr>
            <w:noProof/>
            <w:webHidden/>
          </w:rPr>
          <w:fldChar w:fldCharType="separate"/>
        </w:r>
        <w:r w:rsidR="0026102E">
          <w:rPr>
            <w:noProof/>
            <w:webHidden/>
          </w:rPr>
          <w:t>45</w:t>
        </w:r>
        <w:r w:rsidR="0026102E">
          <w:rPr>
            <w:noProof/>
            <w:webHidden/>
          </w:rPr>
          <w:fldChar w:fldCharType="end"/>
        </w:r>
      </w:hyperlink>
    </w:p>
    <w:p w14:paraId="3A99F2A1" w14:textId="454BE5F6" w:rsidR="0026102E" w:rsidRDefault="002C1FA8">
      <w:pPr>
        <w:pStyle w:val="TOC2"/>
        <w:tabs>
          <w:tab w:val="right" w:leader="dot" w:pos="8630"/>
        </w:tabs>
        <w:rPr>
          <w:rFonts w:asciiTheme="minorHAnsi" w:eastAsiaTheme="minorEastAsia" w:hAnsiTheme="minorHAnsi" w:cstheme="minorBidi"/>
          <w:noProof/>
          <w:sz w:val="22"/>
          <w:szCs w:val="22"/>
        </w:rPr>
      </w:pPr>
      <w:hyperlink w:anchor="_Toc509576777" w:history="1">
        <w:r w:rsidR="0026102E" w:rsidRPr="00A0594A">
          <w:rPr>
            <w:rStyle w:val="Hyperlink"/>
            <w:noProof/>
          </w:rPr>
          <w:t>7.2 Residential TOU</w:t>
        </w:r>
        <w:r w:rsidR="0026102E">
          <w:rPr>
            <w:noProof/>
            <w:webHidden/>
          </w:rPr>
          <w:tab/>
        </w:r>
        <w:r w:rsidR="0026102E">
          <w:rPr>
            <w:noProof/>
            <w:webHidden/>
          </w:rPr>
          <w:fldChar w:fldCharType="begin"/>
        </w:r>
        <w:r w:rsidR="0026102E">
          <w:rPr>
            <w:noProof/>
            <w:webHidden/>
          </w:rPr>
          <w:instrText xml:space="preserve"> PAGEREF _Toc509576777 \h </w:instrText>
        </w:r>
        <w:r w:rsidR="0026102E">
          <w:rPr>
            <w:noProof/>
            <w:webHidden/>
          </w:rPr>
        </w:r>
        <w:r w:rsidR="0026102E">
          <w:rPr>
            <w:noProof/>
            <w:webHidden/>
          </w:rPr>
          <w:fldChar w:fldCharType="separate"/>
        </w:r>
        <w:r w:rsidR="0026102E">
          <w:rPr>
            <w:noProof/>
            <w:webHidden/>
          </w:rPr>
          <w:t>46</w:t>
        </w:r>
        <w:r w:rsidR="0026102E">
          <w:rPr>
            <w:noProof/>
            <w:webHidden/>
          </w:rPr>
          <w:fldChar w:fldCharType="end"/>
        </w:r>
      </w:hyperlink>
    </w:p>
    <w:p w14:paraId="3EFDD6C4" w14:textId="373A6D4F" w:rsidR="0026102E" w:rsidRDefault="002C1FA8">
      <w:pPr>
        <w:pStyle w:val="TOC3"/>
        <w:rPr>
          <w:rFonts w:asciiTheme="minorHAnsi" w:eastAsiaTheme="minorEastAsia" w:hAnsiTheme="minorHAnsi" w:cstheme="minorBidi"/>
          <w:noProof/>
          <w:sz w:val="22"/>
          <w:szCs w:val="22"/>
        </w:rPr>
      </w:pPr>
      <w:hyperlink w:anchor="_Toc509576778" w:history="1">
        <w:r w:rsidR="0026102E" w:rsidRPr="00A0594A">
          <w:rPr>
            <w:rStyle w:val="Hyperlink"/>
            <w:noProof/>
          </w:rPr>
          <w:t>7.2.1 Previous versus current ex-post</w:t>
        </w:r>
        <w:r w:rsidR="0026102E">
          <w:rPr>
            <w:noProof/>
            <w:webHidden/>
          </w:rPr>
          <w:tab/>
        </w:r>
        <w:r w:rsidR="0026102E">
          <w:rPr>
            <w:noProof/>
            <w:webHidden/>
          </w:rPr>
          <w:fldChar w:fldCharType="begin"/>
        </w:r>
        <w:r w:rsidR="0026102E">
          <w:rPr>
            <w:noProof/>
            <w:webHidden/>
          </w:rPr>
          <w:instrText xml:space="preserve"> PAGEREF _Toc509576778 \h </w:instrText>
        </w:r>
        <w:r w:rsidR="0026102E">
          <w:rPr>
            <w:noProof/>
            <w:webHidden/>
          </w:rPr>
        </w:r>
        <w:r w:rsidR="0026102E">
          <w:rPr>
            <w:noProof/>
            <w:webHidden/>
          </w:rPr>
          <w:fldChar w:fldCharType="separate"/>
        </w:r>
        <w:r w:rsidR="0026102E">
          <w:rPr>
            <w:noProof/>
            <w:webHidden/>
          </w:rPr>
          <w:t>46</w:t>
        </w:r>
        <w:r w:rsidR="0026102E">
          <w:rPr>
            <w:noProof/>
            <w:webHidden/>
          </w:rPr>
          <w:fldChar w:fldCharType="end"/>
        </w:r>
      </w:hyperlink>
    </w:p>
    <w:p w14:paraId="2B24F399" w14:textId="607F5BFF" w:rsidR="0026102E" w:rsidRDefault="002C1FA8">
      <w:pPr>
        <w:pStyle w:val="TOC3"/>
        <w:rPr>
          <w:rFonts w:asciiTheme="minorHAnsi" w:eastAsiaTheme="minorEastAsia" w:hAnsiTheme="minorHAnsi" w:cstheme="minorBidi"/>
          <w:noProof/>
          <w:sz w:val="22"/>
          <w:szCs w:val="22"/>
        </w:rPr>
      </w:pPr>
      <w:hyperlink w:anchor="_Toc509576779" w:history="1">
        <w:r w:rsidR="0026102E" w:rsidRPr="00A0594A">
          <w:rPr>
            <w:rStyle w:val="Hyperlink"/>
            <w:noProof/>
          </w:rPr>
          <w:t>7.2.2 Previous versus current ex-ante</w:t>
        </w:r>
        <w:r w:rsidR="0026102E">
          <w:rPr>
            <w:noProof/>
            <w:webHidden/>
          </w:rPr>
          <w:tab/>
        </w:r>
        <w:r w:rsidR="0026102E">
          <w:rPr>
            <w:noProof/>
            <w:webHidden/>
          </w:rPr>
          <w:fldChar w:fldCharType="begin"/>
        </w:r>
        <w:r w:rsidR="0026102E">
          <w:rPr>
            <w:noProof/>
            <w:webHidden/>
          </w:rPr>
          <w:instrText xml:space="preserve"> PAGEREF _Toc509576779 \h </w:instrText>
        </w:r>
        <w:r w:rsidR="0026102E">
          <w:rPr>
            <w:noProof/>
            <w:webHidden/>
          </w:rPr>
        </w:r>
        <w:r w:rsidR="0026102E">
          <w:rPr>
            <w:noProof/>
            <w:webHidden/>
          </w:rPr>
          <w:fldChar w:fldCharType="separate"/>
        </w:r>
        <w:r w:rsidR="0026102E">
          <w:rPr>
            <w:noProof/>
            <w:webHidden/>
          </w:rPr>
          <w:t>47</w:t>
        </w:r>
        <w:r w:rsidR="0026102E">
          <w:rPr>
            <w:noProof/>
            <w:webHidden/>
          </w:rPr>
          <w:fldChar w:fldCharType="end"/>
        </w:r>
      </w:hyperlink>
    </w:p>
    <w:p w14:paraId="43A1F89E" w14:textId="35DF48A6" w:rsidR="0026102E" w:rsidRDefault="002C1FA8">
      <w:pPr>
        <w:pStyle w:val="TOC3"/>
        <w:rPr>
          <w:rFonts w:asciiTheme="minorHAnsi" w:eastAsiaTheme="minorEastAsia" w:hAnsiTheme="minorHAnsi" w:cstheme="minorBidi"/>
          <w:noProof/>
          <w:sz w:val="22"/>
          <w:szCs w:val="22"/>
        </w:rPr>
      </w:pPr>
      <w:hyperlink w:anchor="_Toc509576780" w:history="1">
        <w:r w:rsidR="0026102E" w:rsidRPr="00A0594A">
          <w:rPr>
            <w:rStyle w:val="Hyperlink"/>
            <w:noProof/>
          </w:rPr>
          <w:t>7.2.3 Previous ex-ante versus current ex-post</w:t>
        </w:r>
        <w:r w:rsidR="0026102E">
          <w:rPr>
            <w:noProof/>
            <w:webHidden/>
          </w:rPr>
          <w:tab/>
        </w:r>
        <w:r w:rsidR="0026102E">
          <w:rPr>
            <w:noProof/>
            <w:webHidden/>
          </w:rPr>
          <w:fldChar w:fldCharType="begin"/>
        </w:r>
        <w:r w:rsidR="0026102E">
          <w:rPr>
            <w:noProof/>
            <w:webHidden/>
          </w:rPr>
          <w:instrText xml:space="preserve"> PAGEREF _Toc509576780 \h </w:instrText>
        </w:r>
        <w:r w:rsidR="0026102E">
          <w:rPr>
            <w:noProof/>
            <w:webHidden/>
          </w:rPr>
        </w:r>
        <w:r w:rsidR="0026102E">
          <w:rPr>
            <w:noProof/>
            <w:webHidden/>
          </w:rPr>
          <w:fldChar w:fldCharType="separate"/>
        </w:r>
        <w:r w:rsidR="0026102E">
          <w:rPr>
            <w:noProof/>
            <w:webHidden/>
          </w:rPr>
          <w:t>47</w:t>
        </w:r>
        <w:r w:rsidR="0026102E">
          <w:rPr>
            <w:noProof/>
            <w:webHidden/>
          </w:rPr>
          <w:fldChar w:fldCharType="end"/>
        </w:r>
      </w:hyperlink>
    </w:p>
    <w:p w14:paraId="37CB9C8A" w14:textId="0500B24E" w:rsidR="0026102E" w:rsidRDefault="002C1FA8">
      <w:pPr>
        <w:pStyle w:val="TOC3"/>
        <w:rPr>
          <w:rFonts w:asciiTheme="minorHAnsi" w:eastAsiaTheme="minorEastAsia" w:hAnsiTheme="minorHAnsi" w:cstheme="minorBidi"/>
          <w:noProof/>
          <w:sz w:val="22"/>
          <w:szCs w:val="22"/>
        </w:rPr>
      </w:pPr>
      <w:hyperlink w:anchor="_Toc509576781" w:history="1">
        <w:r w:rsidR="0026102E" w:rsidRPr="00A0594A">
          <w:rPr>
            <w:rStyle w:val="Hyperlink"/>
            <w:noProof/>
          </w:rPr>
          <w:t>7.3.4 Current ex-post versus current ex-ante</w:t>
        </w:r>
        <w:r w:rsidR="0026102E">
          <w:rPr>
            <w:noProof/>
            <w:webHidden/>
          </w:rPr>
          <w:tab/>
        </w:r>
        <w:r w:rsidR="0026102E">
          <w:rPr>
            <w:noProof/>
            <w:webHidden/>
          </w:rPr>
          <w:fldChar w:fldCharType="begin"/>
        </w:r>
        <w:r w:rsidR="0026102E">
          <w:rPr>
            <w:noProof/>
            <w:webHidden/>
          </w:rPr>
          <w:instrText xml:space="preserve"> PAGEREF _Toc509576781 \h </w:instrText>
        </w:r>
        <w:r w:rsidR="0026102E">
          <w:rPr>
            <w:noProof/>
            <w:webHidden/>
          </w:rPr>
        </w:r>
        <w:r w:rsidR="0026102E">
          <w:rPr>
            <w:noProof/>
            <w:webHidden/>
          </w:rPr>
          <w:fldChar w:fldCharType="separate"/>
        </w:r>
        <w:r w:rsidR="0026102E">
          <w:rPr>
            <w:noProof/>
            <w:webHidden/>
          </w:rPr>
          <w:t>48</w:t>
        </w:r>
        <w:r w:rsidR="0026102E">
          <w:rPr>
            <w:noProof/>
            <w:webHidden/>
          </w:rPr>
          <w:fldChar w:fldCharType="end"/>
        </w:r>
      </w:hyperlink>
    </w:p>
    <w:p w14:paraId="19413D7E" w14:textId="1D41C6CB" w:rsidR="0026102E" w:rsidRDefault="002C1FA8">
      <w:pPr>
        <w:pStyle w:val="TOC1"/>
        <w:rPr>
          <w:rFonts w:asciiTheme="minorHAnsi" w:eastAsiaTheme="minorEastAsia" w:hAnsiTheme="minorHAnsi" w:cstheme="minorBidi"/>
          <w:b w:val="0"/>
          <w:noProof/>
          <w:sz w:val="22"/>
          <w:szCs w:val="22"/>
        </w:rPr>
      </w:pPr>
      <w:hyperlink w:anchor="_Toc509576782" w:history="1">
        <w:r w:rsidR="0026102E" w:rsidRPr="00A0594A">
          <w:rPr>
            <w:rStyle w:val="Hyperlink"/>
            <w:noProof/>
          </w:rPr>
          <w:t>8. Recommendations</w:t>
        </w:r>
        <w:r w:rsidR="0026102E">
          <w:rPr>
            <w:noProof/>
            <w:webHidden/>
          </w:rPr>
          <w:tab/>
        </w:r>
        <w:r w:rsidR="0026102E">
          <w:rPr>
            <w:noProof/>
            <w:webHidden/>
          </w:rPr>
          <w:fldChar w:fldCharType="begin"/>
        </w:r>
        <w:r w:rsidR="0026102E">
          <w:rPr>
            <w:noProof/>
            <w:webHidden/>
          </w:rPr>
          <w:instrText xml:space="preserve"> PAGEREF _Toc509576782 \h </w:instrText>
        </w:r>
        <w:r w:rsidR="0026102E">
          <w:rPr>
            <w:noProof/>
            <w:webHidden/>
          </w:rPr>
        </w:r>
        <w:r w:rsidR="0026102E">
          <w:rPr>
            <w:noProof/>
            <w:webHidden/>
          </w:rPr>
          <w:fldChar w:fldCharType="separate"/>
        </w:r>
        <w:r w:rsidR="0026102E">
          <w:rPr>
            <w:noProof/>
            <w:webHidden/>
          </w:rPr>
          <w:t>48</w:t>
        </w:r>
        <w:r w:rsidR="0026102E">
          <w:rPr>
            <w:noProof/>
            <w:webHidden/>
          </w:rPr>
          <w:fldChar w:fldCharType="end"/>
        </w:r>
      </w:hyperlink>
    </w:p>
    <w:p w14:paraId="76E0B8B4" w14:textId="0812CD9A" w:rsidR="0026102E" w:rsidRDefault="002C1FA8">
      <w:pPr>
        <w:pStyle w:val="TOC1"/>
        <w:rPr>
          <w:rFonts w:asciiTheme="minorHAnsi" w:eastAsiaTheme="minorEastAsia" w:hAnsiTheme="minorHAnsi" w:cstheme="minorBidi"/>
          <w:b w:val="0"/>
          <w:noProof/>
          <w:sz w:val="22"/>
          <w:szCs w:val="22"/>
        </w:rPr>
      </w:pPr>
      <w:hyperlink w:anchor="_Toc509576783" w:history="1">
        <w:r w:rsidR="0026102E" w:rsidRPr="00A0594A">
          <w:rPr>
            <w:rStyle w:val="Hyperlink"/>
            <w:noProof/>
          </w:rPr>
          <w:t>Appendices</w:t>
        </w:r>
        <w:r w:rsidR="0026102E">
          <w:rPr>
            <w:noProof/>
            <w:webHidden/>
          </w:rPr>
          <w:tab/>
        </w:r>
        <w:r w:rsidR="0026102E">
          <w:rPr>
            <w:noProof/>
            <w:webHidden/>
          </w:rPr>
          <w:fldChar w:fldCharType="begin"/>
        </w:r>
        <w:r w:rsidR="0026102E">
          <w:rPr>
            <w:noProof/>
            <w:webHidden/>
          </w:rPr>
          <w:instrText xml:space="preserve"> PAGEREF _Toc509576783 \h </w:instrText>
        </w:r>
        <w:r w:rsidR="0026102E">
          <w:rPr>
            <w:noProof/>
            <w:webHidden/>
          </w:rPr>
        </w:r>
        <w:r w:rsidR="0026102E">
          <w:rPr>
            <w:noProof/>
            <w:webHidden/>
          </w:rPr>
          <w:fldChar w:fldCharType="separate"/>
        </w:r>
        <w:r w:rsidR="0026102E">
          <w:rPr>
            <w:noProof/>
            <w:webHidden/>
          </w:rPr>
          <w:t>50</w:t>
        </w:r>
        <w:r w:rsidR="0026102E">
          <w:rPr>
            <w:noProof/>
            <w:webHidden/>
          </w:rPr>
          <w:fldChar w:fldCharType="end"/>
        </w:r>
      </w:hyperlink>
    </w:p>
    <w:p w14:paraId="73E122E8" w14:textId="57924BD1" w:rsidR="00321E09" w:rsidRDefault="00321E09" w:rsidP="00095AB1">
      <w:pPr>
        <w:spacing w:after="120"/>
        <w:jc w:val="center"/>
        <w:rPr>
          <w:b/>
          <w:sz w:val="28"/>
          <w:szCs w:val="28"/>
        </w:rPr>
        <w:sectPr w:rsidR="00321E09" w:rsidSect="00656C04">
          <w:headerReference w:type="default" r:id="rId11"/>
          <w:footerReference w:type="default" r:id="rId12"/>
          <w:pgSz w:w="12240" w:h="15840"/>
          <w:pgMar w:top="1440" w:right="1800" w:bottom="1296" w:left="1800" w:header="720" w:footer="720" w:gutter="0"/>
          <w:pgNumType w:fmt="lowerRoman" w:start="1"/>
          <w:cols w:space="720"/>
          <w:docGrid w:linePitch="360"/>
        </w:sectPr>
      </w:pPr>
      <w:r w:rsidRPr="00421999">
        <w:rPr>
          <w:sz w:val="22"/>
          <w:szCs w:val="22"/>
        </w:rPr>
        <w:fldChar w:fldCharType="end"/>
      </w:r>
    </w:p>
    <w:p w14:paraId="10CF0268" w14:textId="77777777" w:rsidR="00CB7974" w:rsidRDefault="00CB7974" w:rsidP="00095AB1">
      <w:pPr>
        <w:spacing w:after="120"/>
        <w:rPr>
          <w:b/>
        </w:rPr>
      </w:pPr>
      <w:r>
        <w:rPr>
          <w:b/>
        </w:rPr>
        <w:br w:type="page"/>
      </w:r>
    </w:p>
    <w:p w14:paraId="1C3B1E62" w14:textId="77777777" w:rsidR="008C53F9" w:rsidRPr="006B553B" w:rsidRDefault="008C53F9" w:rsidP="00095AB1">
      <w:pPr>
        <w:spacing w:after="120"/>
        <w:jc w:val="center"/>
        <w:rPr>
          <w:b/>
        </w:rPr>
      </w:pPr>
      <w:r w:rsidRPr="006B553B">
        <w:rPr>
          <w:b/>
        </w:rPr>
        <w:lastRenderedPageBreak/>
        <w:t>List of Tables</w:t>
      </w:r>
    </w:p>
    <w:p w14:paraId="23095B83" w14:textId="77777777" w:rsidR="008C53F9" w:rsidRDefault="008C53F9" w:rsidP="00095AB1">
      <w:pPr>
        <w:spacing w:after="120"/>
      </w:pPr>
    </w:p>
    <w:p w14:paraId="3D8F50FC" w14:textId="35FB97F7" w:rsidR="0026102E" w:rsidRDefault="008C53F9">
      <w:pPr>
        <w:pStyle w:val="TableofFigures"/>
        <w:tabs>
          <w:tab w:val="right" w:leader="dot" w:pos="8630"/>
        </w:tabs>
        <w:rPr>
          <w:rFonts w:asciiTheme="minorHAnsi" w:eastAsiaTheme="minorEastAsia" w:hAnsiTheme="minorHAnsi" w:cstheme="minorBidi"/>
          <w:noProof/>
          <w:sz w:val="22"/>
          <w:szCs w:val="22"/>
        </w:rPr>
      </w:pPr>
      <w:r w:rsidRPr="006B1FF9">
        <w:rPr>
          <w:sz w:val="22"/>
          <w:szCs w:val="22"/>
        </w:rPr>
        <w:fldChar w:fldCharType="begin"/>
      </w:r>
      <w:r w:rsidRPr="006B1FF9">
        <w:rPr>
          <w:sz w:val="22"/>
          <w:szCs w:val="22"/>
        </w:rPr>
        <w:instrText xml:space="preserve"> TOC \h \z \t "Table Caption" \c </w:instrText>
      </w:r>
      <w:r w:rsidRPr="006B1FF9">
        <w:rPr>
          <w:sz w:val="22"/>
          <w:szCs w:val="22"/>
        </w:rPr>
        <w:fldChar w:fldCharType="separate"/>
      </w:r>
      <w:hyperlink w:anchor="_Toc509576784" w:history="1">
        <w:r w:rsidR="0026102E" w:rsidRPr="00605F4C">
          <w:rPr>
            <w:rStyle w:val="Hyperlink"/>
            <w:noProof/>
          </w:rPr>
          <w:t>Table ES.1: Average CPP Event-Hour Load Impacts – Average Weekday Event</w:t>
        </w:r>
        <w:r w:rsidR="0026102E">
          <w:rPr>
            <w:noProof/>
            <w:webHidden/>
          </w:rPr>
          <w:tab/>
        </w:r>
        <w:r w:rsidR="0026102E">
          <w:rPr>
            <w:noProof/>
            <w:webHidden/>
          </w:rPr>
          <w:fldChar w:fldCharType="begin"/>
        </w:r>
        <w:r w:rsidR="0026102E">
          <w:rPr>
            <w:noProof/>
            <w:webHidden/>
          </w:rPr>
          <w:instrText xml:space="preserve"> PAGEREF _Toc509576784 \h </w:instrText>
        </w:r>
        <w:r w:rsidR="0026102E">
          <w:rPr>
            <w:noProof/>
            <w:webHidden/>
          </w:rPr>
        </w:r>
        <w:r w:rsidR="0026102E">
          <w:rPr>
            <w:noProof/>
            <w:webHidden/>
          </w:rPr>
          <w:fldChar w:fldCharType="separate"/>
        </w:r>
        <w:r w:rsidR="0026102E">
          <w:rPr>
            <w:noProof/>
            <w:webHidden/>
          </w:rPr>
          <w:t>2</w:t>
        </w:r>
        <w:r w:rsidR="0026102E">
          <w:rPr>
            <w:noProof/>
            <w:webHidden/>
          </w:rPr>
          <w:fldChar w:fldCharType="end"/>
        </w:r>
      </w:hyperlink>
    </w:p>
    <w:p w14:paraId="3E22B52E" w14:textId="0E815A03"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785" w:history="1">
        <w:r w:rsidR="0026102E" w:rsidRPr="00605F4C">
          <w:rPr>
            <w:rStyle w:val="Hyperlink"/>
            <w:noProof/>
          </w:rPr>
          <w:t>Table ES.2: TOU Peak Load Impacts for TOU Customers – Average Weekday by Month</w:t>
        </w:r>
        <w:r w:rsidR="0026102E">
          <w:rPr>
            <w:noProof/>
            <w:webHidden/>
          </w:rPr>
          <w:tab/>
        </w:r>
        <w:r w:rsidR="0026102E">
          <w:rPr>
            <w:noProof/>
            <w:webHidden/>
          </w:rPr>
          <w:fldChar w:fldCharType="begin"/>
        </w:r>
        <w:r w:rsidR="0026102E">
          <w:rPr>
            <w:noProof/>
            <w:webHidden/>
          </w:rPr>
          <w:instrText xml:space="preserve"> PAGEREF _Toc509576785 \h </w:instrText>
        </w:r>
        <w:r w:rsidR="0026102E">
          <w:rPr>
            <w:noProof/>
            <w:webHidden/>
          </w:rPr>
        </w:r>
        <w:r w:rsidR="0026102E">
          <w:rPr>
            <w:noProof/>
            <w:webHidden/>
          </w:rPr>
          <w:fldChar w:fldCharType="separate"/>
        </w:r>
        <w:r w:rsidR="0026102E">
          <w:rPr>
            <w:noProof/>
            <w:webHidden/>
          </w:rPr>
          <w:t>3</w:t>
        </w:r>
        <w:r w:rsidR="0026102E">
          <w:rPr>
            <w:noProof/>
            <w:webHidden/>
          </w:rPr>
          <w:fldChar w:fldCharType="end"/>
        </w:r>
      </w:hyperlink>
    </w:p>
    <w:p w14:paraId="548D7330" w14:textId="1E707DD8"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786" w:history="1">
        <w:r w:rsidR="0026102E" w:rsidRPr="00605F4C">
          <w:rPr>
            <w:rStyle w:val="Hyperlink"/>
            <w:noProof/>
          </w:rPr>
          <w:t>Table ES.3: TOU Peak Load Impacts for TOU Customers –  Average Weekday by Season &amp; Climate Zone</w:t>
        </w:r>
        <w:r w:rsidR="0026102E">
          <w:rPr>
            <w:noProof/>
            <w:webHidden/>
          </w:rPr>
          <w:tab/>
        </w:r>
        <w:r w:rsidR="0026102E">
          <w:rPr>
            <w:noProof/>
            <w:webHidden/>
          </w:rPr>
          <w:fldChar w:fldCharType="begin"/>
        </w:r>
        <w:r w:rsidR="0026102E">
          <w:rPr>
            <w:noProof/>
            <w:webHidden/>
          </w:rPr>
          <w:instrText xml:space="preserve"> PAGEREF _Toc509576786 \h </w:instrText>
        </w:r>
        <w:r w:rsidR="0026102E">
          <w:rPr>
            <w:noProof/>
            <w:webHidden/>
          </w:rPr>
        </w:r>
        <w:r w:rsidR="0026102E">
          <w:rPr>
            <w:noProof/>
            <w:webHidden/>
          </w:rPr>
          <w:fldChar w:fldCharType="separate"/>
        </w:r>
        <w:r w:rsidR="0026102E">
          <w:rPr>
            <w:noProof/>
            <w:webHidden/>
          </w:rPr>
          <w:t>4</w:t>
        </w:r>
        <w:r w:rsidR="0026102E">
          <w:rPr>
            <w:noProof/>
            <w:webHidden/>
          </w:rPr>
          <w:fldChar w:fldCharType="end"/>
        </w:r>
      </w:hyperlink>
    </w:p>
    <w:p w14:paraId="5188CB3C" w14:textId="363F62C1"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787" w:history="1">
        <w:r w:rsidR="0026102E" w:rsidRPr="00605F4C">
          <w:rPr>
            <w:rStyle w:val="Hyperlink"/>
            <w:noProof/>
          </w:rPr>
          <w:t>Table ES.4: TOU Peak Load Impacts for CPP Customers – Average Weekday by Month</w:t>
        </w:r>
        <w:r w:rsidR="0026102E">
          <w:rPr>
            <w:noProof/>
            <w:webHidden/>
          </w:rPr>
          <w:tab/>
        </w:r>
        <w:r w:rsidR="0026102E">
          <w:rPr>
            <w:noProof/>
            <w:webHidden/>
          </w:rPr>
          <w:fldChar w:fldCharType="begin"/>
        </w:r>
        <w:r w:rsidR="0026102E">
          <w:rPr>
            <w:noProof/>
            <w:webHidden/>
          </w:rPr>
          <w:instrText xml:space="preserve"> PAGEREF _Toc509576787 \h </w:instrText>
        </w:r>
        <w:r w:rsidR="0026102E">
          <w:rPr>
            <w:noProof/>
            <w:webHidden/>
          </w:rPr>
        </w:r>
        <w:r w:rsidR="0026102E">
          <w:rPr>
            <w:noProof/>
            <w:webHidden/>
          </w:rPr>
          <w:fldChar w:fldCharType="separate"/>
        </w:r>
        <w:r w:rsidR="0026102E">
          <w:rPr>
            <w:noProof/>
            <w:webHidden/>
          </w:rPr>
          <w:t>5</w:t>
        </w:r>
        <w:r w:rsidR="0026102E">
          <w:rPr>
            <w:noProof/>
            <w:webHidden/>
          </w:rPr>
          <w:fldChar w:fldCharType="end"/>
        </w:r>
      </w:hyperlink>
    </w:p>
    <w:p w14:paraId="07E98BA0" w14:textId="7BE4E0AF"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788" w:history="1">
        <w:r w:rsidR="0026102E" w:rsidRPr="00605F4C">
          <w:rPr>
            <w:rStyle w:val="Hyperlink"/>
            <w:noProof/>
          </w:rPr>
          <w:t>Table ES.5: TOU Peak Load Impacts for CPP Customers – Average Weekday by Season &amp; Climate Zone</w:t>
        </w:r>
        <w:r w:rsidR="0026102E">
          <w:rPr>
            <w:noProof/>
            <w:webHidden/>
          </w:rPr>
          <w:tab/>
        </w:r>
        <w:r w:rsidR="0026102E">
          <w:rPr>
            <w:noProof/>
            <w:webHidden/>
          </w:rPr>
          <w:fldChar w:fldCharType="begin"/>
        </w:r>
        <w:r w:rsidR="0026102E">
          <w:rPr>
            <w:noProof/>
            <w:webHidden/>
          </w:rPr>
          <w:instrText xml:space="preserve"> PAGEREF _Toc509576788 \h </w:instrText>
        </w:r>
        <w:r w:rsidR="0026102E">
          <w:rPr>
            <w:noProof/>
            <w:webHidden/>
          </w:rPr>
        </w:r>
        <w:r w:rsidR="0026102E">
          <w:rPr>
            <w:noProof/>
            <w:webHidden/>
          </w:rPr>
          <w:fldChar w:fldCharType="separate"/>
        </w:r>
        <w:r w:rsidR="0026102E">
          <w:rPr>
            <w:noProof/>
            <w:webHidden/>
          </w:rPr>
          <w:t>5</w:t>
        </w:r>
        <w:r w:rsidR="0026102E">
          <w:rPr>
            <w:noProof/>
            <w:webHidden/>
          </w:rPr>
          <w:fldChar w:fldCharType="end"/>
        </w:r>
      </w:hyperlink>
    </w:p>
    <w:p w14:paraId="259E2FE6" w14:textId="759C4BB6"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789" w:history="1">
        <w:r w:rsidR="0026102E" w:rsidRPr="00605F4C">
          <w:rPr>
            <w:rStyle w:val="Hyperlink"/>
            <w:noProof/>
          </w:rPr>
          <w:t>Table 3.1: List of Selected Event-Like Days</w:t>
        </w:r>
        <w:r w:rsidR="0026102E">
          <w:rPr>
            <w:noProof/>
            <w:webHidden/>
          </w:rPr>
          <w:tab/>
        </w:r>
        <w:r w:rsidR="0026102E">
          <w:rPr>
            <w:noProof/>
            <w:webHidden/>
          </w:rPr>
          <w:fldChar w:fldCharType="begin"/>
        </w:r>
        <w:r w:rsidR="0026102E">
          <w:rPr>
            <w:noProof/>
            <w:webHidden/>
          </w:rPr>
          <w:instrText xml:space="preserve"> PAGEREF _Toc509576789 \h </w:instrText>
        </w:r>
        <w:r w:rsidR="0026102E">
          <w:rPr>
            <w:noProof/>
            <w:webHidden/>
          </w:rPr>
        </w:r>
        <w:r w:rsidR="0026102E">
          <w:rPr>
            <w:noProof/>
            <w:webHidden/>
          </w:rPr>
          <w:fldChar w:fldCharType="separate"/>
        </w:r>
        <w:r w:rsidR="0026102E">
          <w:rPr>
            <w:noProof/>
            <w:webHidden/>
          </w:rPr>
          <w:t>14</w:t>
        </w:r>
        <w:r w:rsidR="0026102E">
          <w:rPr>
            <w:noProof/>
            <w:webHidden/>
          </w:rPr>
          <w:fldChar w:fldCharType="end"/>
        </w:r>
      </w:hyperlink>
    </w:p>
    <w:p w14:paraId="40A05BED" w14:textId="4E0892D1"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790" w:history="1">
        <w:r w:rsidR="0026102E" w:rsidRPr="00605F4C">
          <w:rPr>
            <w:rStyle w:val="Hyperlink"/>
            <w:noProof/>
          </w:rPr>
          <w:t>Table 3.1: Description of Variables Used in the CPP Analysis Regressions</w:t>
        </w:r>
        <w:r w:rsidR="0026102E">
          <w:rPr>
            <w:noProof/>
            <w:webHidden/>
          </w:rPr>
          <w:tab/>
        </w:r>
        <w:r w:rsidR="0026102E">
          <w:rPr>
            <w:noProof/>
            <w:webHidden/>
          </w:rPr>
          <w:fldChar w:fldCharType="begin"/>
        </w:r>
        <w:r w:rsidR="0026102E">
          <w:rPr>
            <w:noProof/>
            <w:webHidden/>
          </w:rPr>
          <w:instrText xml:space="preserve"> PAGEREF _Toc509576790 \h </w:instrText>
        </w:r>
        <w:r w:rsidR="0026102E">
          <w:rPr>
            <w:noProof/>
            <w:webHidden/>
          </w:rPr>
        </w:r>
        <w:r w:rsidR="0026102E">
          <w:rPr>
            <w:noProof/>
            <w:webHidden/>
          </w:rPr>
          <w:fldChar w:fldCharType="separate"/>
        </w:r>
        <w:r w:rsidR="0026102E">
          <w:rPr>
            <w:noProof/>
            <w:webHidden/>
          </w:rPr>
          <w:t>16</w:t>
        </w:r>
        <w:r w:rsidR="0026102E">
          <w:rPr>
            <w:noProof/>
            <w:webHidden/>
          </w:rPr>
          <w:fldChar w:fldCharType="end"/>
        </w:r>
      </w:hyperlink>
    </w:p>
    <w:p w14:paraId="62F376FA" w14:textId="634F9156"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791" w:history="1">
        <w:r w:rsidR="0026102E" w:rsidRPr="00605F4C">
          <w:rPr>
            <w:rStyle w:val="Hyperlink"/>
            <w:noProof/>
          </w:rPr>
          <w:t>Table 3.2: Description of Variables Used in the TOU Analysis Regressions</w:t>
        </w:r>
        <w:r w:rsidR="0026102E">
          <w:rPr>
            <w:noProof/>
            <w:webHidden/>
          </w:rPr>
          <w:tab/>
        </w:r>
        <w:r w:rsidR="0026102E">
          <w:rPr>
            <w:noProof/>
            <w:webHidden/>
          </w:rPr>
          <w:fldChar w:fldCharType="begin"/>
        </w:r>
        <w:r w:rsidR="0026102E">
          <w:rPr>
            <w:noProof/>
            <w:webHidden/>
          </w:rPr>
          <w:instrText xml:space="preserve"> PAGEREF _Toc509576791 \h </w:instrText>
        </w:r>
        <w:r w:rsidR="0026102E">
          <w:rPr>
            <w:noProof/>
            <w:webHidden/>
          </w:rPr>
        </w:r>
        <w:r w:rsidR="0026102E">
          <w:rPr>
            <w:noProof/>
            <w:webHidden/>
          </w:rPr>
          <w:fldChar w:fldCharType="separate"/>
        </w:r>
        <w:r w:rsidR="0026102E">
          <w:rPr>
            <w:noProof/>
            <w:webHidden/>
          </w:rPr>
          <w:t>17</w:t>
        </w:r>
        <w:r w:rsidR="0026102E">
          <w:rPr>
            <w:noProof/>
            <w:webHidden/>
          </w:rPr>
          <w:fldChar w:fldCharType="end"/>
        </w:r>
      </w:hyperlink>
    </w:p>
    <w:p w14:paraId="31283388" w14:textId="362D4DD4"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792" w:history="1">
        <w:r w:rsidR="0026102E" w:rsidRPr="00605F4C">
          <w:rPr>
            <w:rStyle w:val="Hyperlink"/>
            <w:noProof/>
          </w:rPr>
          <w:t>Table 4.1: Average CPP Event-Hour Load Impacts</w:t>
        </w:r>
        <w:r w:rsidR="0026102E">
          <w:rPr>
            <w:noProof/>
            <w:webHidden/>
          </w:rPr>
          <w:tab/>
        </w:r>
        <w:r w:rsidR="0026102E">
          <w:rPr>
            <w:noProof/>
            <w:webHidden/>
          </w:rPr>
          <w:fldChar w:fldCharType="begin"/>
        </w:r>
        <w:r w:rsidR="0026102E">
          <w:rPr>
            <w:noProof/>
            <w:webHidden/>
          </w:rPr>
          <w:instrText xml:space="preserve"> PAGEREF _Toc509576792 \h </w:instrText>
        </w:r>
        <w:r w:rsidR="0026102E">
          <w:rPr>
            <w:noProof/>
            <w:webHidden/>
          </w:rPr>
        </w:r>
        <w:r w:rsidR="0026102E">
          <w:rPr>
            <w:noProof/>
            <w:webHidden/>
          </w:rPr>
          <w:fldChar w:fldCharType="separate"/>
        </w:r>
        <w:r w:rsidR="0026102E">
          <w:rPr>
            <w:noProof/>
            <w:webHidden/>
          </w:rPr>
          <w:t>20</w:t>
        </w:r>
        <w:r w:rsidR="0026102E">
          <w:rPr>
            <w:noProof/>
            <w:webHidden/>
          </w:rPr>
          <w:fldChar w:fldCharType="end"/>
        </w:r>
      </w:hyperlink>
    </w:p>
    <w:p w14:paraId="6E4DB2A8" w14:textId="2F530F85"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793" w:history="1">
        <w:r w:rsidR="0026102E" w:rsidRPr="00605F4C">
          <w:rPr>
            <w:rStyle w:val="Hyperlink"/>
            <w:noProof/>
          </w:rPr>
          <w:t>Table 4.2: Comparison of Average SCTD Event-Hour Load Impacts  for Customers Dually Enrolled in SCTD and CPP</w:t>
        </w:r>
        <w:r w:rsidR="0026102E">
          <w:rPr>
            <w:noProof/>
            <w:webHidden/>
          </w:rPr>
          <w:tab/>
        </w:r>
        <w:r w:rsidR="0026102E">
          <w:rPr>
            <w:noProof/>
            <w:webHidden/>
          </w:rPr>
          <w:fldChar w:fldCharType="begin"/>
        </w:r>
        <w:r w:rsidR="0026102E">
          <w:rPr>
            <w:noProof/>
            <w:webHidden/>
          </w:rPr>
          <w:instrText xml:space="preserve"> PAGEREF _Toc509576793 \h </w:instrText>
        </w:r>
        <w:r w:rsidR="0026102E">
          <w:rPr>
            <w:noProof/>
            <w:webHidden/>
          </w:rPr>
        </w:r>
        <w:r w:rsidR="0026102E">
          <w:rPr>
            <w:noProof/>
            <w:webHidden/>
          </w:rPr>
          <w:fldChar w:fldCharType="separate"/>
        </w:r>
        <w:r w:rsidR="0026102E">
          <w:rPr>
            <w:noProof/>
            <w:webHidden/>
          </w:rPr>
          <w:t>22</w:t>
        </w:r>
        <w:r w:rsidR="0026102E">
          <w:rPr>
            <w:noProof/>
            <w:webHidden/>
          </w:rPr>
          <w:fldChar w:fldCharType="end"/>
        </w:r>
      </w:hyperlink>
    </w:p>
    <w:p w14:paraId="35CBD776" w14:textId="761CA56D"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794" w:history="1">
        <w:r w:rsidR="0026102E" w:rsidRPr="00605F4C">
          <w:rPr>
            <w:rStyle w:val="Hyperlink"/>
            <w:noProof/>
          </w:rPr>
          <w:t>Table 5.1: TOU Peak Load Impacts for TOU Customers – Average Weekday by Month</w:t>
        </w:r>
        <w:r w:rsidR="0026102E">
          <w:rPr>
            <w:noProof/>
            <w:webHidden/>
          </w:rPr>
          <w:tab/>
        </w:r>
        <w:r w:rsidR="0026102E">
          <w:rPr>
            <w:noProof/>
            <w:webHidden/>
          </w:rPr>
          <w:fldChar w:fldCharType="begin"/>
        </w:r>
        <w:r w:rsidR="0026102E">
          <w:rPr>
            <w:noProof/>
            <w:webHidden/>
          </w:rPr>
          <w:instrText xml:space="preserve"> PAGEREF _Toc509576794 \h </w:instrText>
        </w:r>
        <w:r w:rsidR="0026102E">
          <w:rPr>
            <w:noProof/>
            <w:webHidden/>
          </w:rPr>
        </w:r>
        <w:r w:rsidR="0026102E">
          <w:rPr>
            <w:noProof/>
            <w:webHidden/>
          </w:rPr>
          <w:fldChar w:fldCharType="separate"/>
        </w:r>
        <w:r w:rsidR="0026102E">
          <w:rPr>
            <w:noProof/>
            <w:webHidden/>
          </w:rPr>
          <w:t>25</w:t>
        </w:r>
        <w:r w:rsidR="0026102E">
          <w:rPr>
            <w:noProof/>
            <w:webHidden/>
          </w:rPr>
          <w:fldChar w:fldCharType="end"/>
        </w:r>
      </w:hyperlink>
    </w:p>
    <w:p w14:paraId="68158A3A" w14:textId="6288309F"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795" w:history="1">
        <w:r w:rsidR="0026102E" w:rsidRPr="00605F4C">
          <w:rPr>
            <w:rStyle w:val="Hyperlink"/>
            <w:noProof/>
          </w:rPr>
          <w:t>Table 5.2: TOU Peak Load Impacts for TOU Customers – Average Weekday by Season &amp; Climate Zone</w:t>
        </w:r>
        <w:r w:rsidR="0026102E">
          <w:rPr>
            <w:noProof/>
            <w:webHidden/>
          </w:rPr>
          <w:tab/>
        </w:r>
        <w:r w:rsidR="0026102E">
          <w:rPr>
            <w:noProof/>
            <w:webHidden/>
          </w:rPr>
          <w:fldChar w:fldCharType="begin"/>
        </w:r>
        <w:r w:rsidR="0026102E">
          <w:rPr>
            <w:noProof/>
            <w:webHidden/>
          </w:rPr>
          <w:instrText xml:space="preserve"> PAGEREF _Toc509576795 \h </w:instrText>
        </w:r>
        <w:r w:rsidR="0026102E">
          <w:rPr>
            <w:noProof/>
            <w:webHidden/>
          </w:rPr>
        </w:r>
        <w:r w:rsidR="0026102E">
          <w:rPr>
            <w:noProof/>
            <w:webHidden/>
          </w:rPr>
          <w:fldChar w:fldCharType="separate"/>
        </w:r>
        <w:r w:rsidR="0026102E">
          <w:rPr>
            <w:noProof/>
            <w:webHidden/>
          </w:rPr>
          <w:t>26</w:t>
        </w:r>
        <w:r w:rsidR="0026102E">
          <w:rPr>
            <w:noProof/>
            <w:webHidden/>
          </w:rPr>
          <w:fldChar w:fldCharType="end"/>
        </w:r>
      </w:hyperlink>
    </w:p>
    <w:p w14:paraId="1D64D466" w14:textId="0AFC8899"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796" w:history="1">
        <w:r w:rsidR="0026102E" w:rsidRPr="00605F4C">
          <w:rPr>
            <w:rStyle w:val="Hyperlink"/>
            <w:noProof/>
          </w:rPr>
          <w:t>Table 5.3: TOU Average Daily Load Impacts for TOU Customers, by Month</w:t>
        </w:r>
        <w:r w:rsidR="0026102E">
          <w:rPr>
            <w:noProof/>
            <w:webHidden/>
          </w:rPr>
          <w:tab/>
        </w:r>
        <w:r w:rsidR="0026102E">
          <w:rPr>
            <w:noProof/>
            <w:webHidden/>
          </w:rPr>
          <w:fldChar w:fldCharType="begin"/>
        </w:r>
        <w:r w:rsidR="0026102E">
          <w:rPr>
            <w:noProof/>
            <w:webHidden/>
          </w:rPr>
          <w:instrText xml:space="preserve"> PAGEREF _Toc509576796 \h </w:instrText>
        </w:r>
        <w:r w:rsidR="0026102E">
          <w:rPr>
            <w:noProof/>
            <w:webHidden/>
          </w:rPr>
        </w:r>
        <w:r w:rsidR="0026102E">
          <w:rPr>
            <w:noProof/>
            <w:webHidden/>
          </w:rPr>
          <w:fldChar w:fldCharType="separate"/>
        </w:r>
        <w:r w:rsidR="0026102E">
          <w:rPr>
            <w:noProof/>
            <w:webHidden/>
          </w:rPr>
          <w:t>27</w:t>
        </w:r>
        <w:r w:rsidR="0026102E">
          <w:rPr>
            <w:noProof/>
            <w:webHidden/>
          </w:rPr>
          <w:fldChar w:fldCharType="end"/>
        </w:r>
      </w:hyperlink>
    </w:p>
    <w:p w14:paraId="40351429" w14:textId="0037C46F"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797" w:history="1">
        <w:r w:rsidR="0026102E" w:rsidRPr="00605F4C">
          <w:rPr>
            <w:rStyle w:val="Hyperlink"/>
            <w:noProof/>
          </w:rPr>
          <w:t>Table 5.4: TOU Peak Load Impacts for CPP Customers – Average Weekday by Month</w:t>
        </w:r>
        <w:r w:rsidR="0026102E">
          <w:rPr>
            <w:noProof/>
            <w:webHidden/>
          </w:rPr>
          <w:tab/>
        </w:r>
        <w:r w:rsidR="0026102E">
          <w:rPr>
            <w:noProof/>
            <w:webHidden/>
          </w:rPr>
          <w:fldChar w:fldCharType="begin"/>
        </w:r>
        <w:r w:rsidR="0026102E">
          <w:rPr>
            <w:noProof/>
            <w:webHidden/>
          </w:rPr>
          <w:instrText xml:space="preserve"> PAGEREF _Toc509576797 \h </w:instrText>
        </w:r>
        <w:r w:rsidR="0026102E">
          <w:rPr>
            <w:noProof/>
            <w:webHidden/>
          </w:rPr>
        </w:r>
        <w:r w:rsidR="0026102E">
          <w:rPr>
            <w:noProof/>
            <w:webHidden/>
          </w:rPr>
          <w:fldChar w:fldCharType="separate"/>
        </w:r>
        <w:r w:rsidR="0026102E">
          <w:rPr>
            <w:noProof/>
            <w:webHidden/>
          </w:rPr>
          <w:t>31</w:t>
        </w:r>
        <w:r w:rsidR="0026102E">
          <w:rPr>
            <w:noProof/>
            <w:webHidden/>
          </w:rPr>
          <w:fldChar w:fldCharType="end"/>
        </w:r>
      </w:hyperlink>
    </w:p>
    <w:p w14:paraId="4F535132" w14:textId="44FC7FEE"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798" w:history="1">
        <w:r w:rsidR="0026102E" w:rsidRPr="00605F4C">
          <w:rPr>
            <w:rStyle w:val="Hyperlink"/>
            <w:noProof/>
          </w:rPr>
          <w:t>Table 5.5: TOU Peak Load Impacts for CPP Customers – Average Weekday by Season &amp; Climate Zone</w:t>
        </w:r>
        <w:r w:rsidR="0026102E">
          <w:rPr>
            <w:noProof/>
            <w:webHidden/>
          </w:rPr>
          <w:tab/>
        </w:r>
        <w:r w:rsidR="0026102E">
          <w:rPr>
            <w:noProof/>
            <w:webHidden/>
          </w:rPr>
          <w:fldChar w:fldCharType="begin"/>
        </w:r>
        <w:r w:rsidR="0026102E">
          <w:rPr>
            <w:noProof/>
            <w:webHidden/>
          </w:rPr>
          <w:instrText xml:space="preserve"> PAGEREF _Toc509576798 \h </w:instrText>
        </w:r>
        <w:r w:rsidR="0026102E">
          <w:rPr>
            <w:noProof/>
            <w:webHidden/>
          </w:rPr>
        </w:r>
        <w:r w:rsidR="0026102E">
          <w:rPr>
            <w:noProof/>
            <w:webHidden/>
          </w:rPr>
          <w:fldChar w:fldCharType="separate"/>
        </w:r>
        <w:r w:rsidR="0026102E">
          <w:rPr>
            <w:noProof/>
            <w:webHidden/>
          </w:rPr>
          <w:t>31</w:t>
        </w:r>
        <w:r w:rsidR="0026102E">
          <w:rPr>
            <w:noProof/>
            <w:webHidden/>
          </w:rPr>
          <w:fldChar w:fldCharType="end"/>
        </w:r>
      </w:hyperlink>
    </w:p>
    <w:p w14:paraId="4A5EBF02" w14:textId="483FEC45"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799" w:history="1">
        <w:r w:rsidR="0026102E" w:rsidRPr="00605F4C">
          <w:rPr>
            <w:rStyle w:val="Hyperlink"/>
            <w:noProof/>
          </w:rPr>
          <w:t>Table 5.6: TOU Average Daily Load Impacts for CPP Customers, by Month</w:t>
        </w:r>
        <w:r w:rsidR="0026102E">
          <w:rPr>
            <w:noProof/>
            <w:webHidden/>
          </w:rPr>
          <w:tab/>
        </w:r>
        <w:r w:rsidR="0026102E">
          <w:rPr>
            <w:noProof/>
            <w:webHidden/>
          </w:rPr>
          <w:fldChar w:fldCharType="begin"/>
        </w:r>
        <w:r w:rsidR="0026102E">
          <w:rPr>
            <w:noProof/>
            <w:webHidden/>
          </w:rPr>
          <w:instrText xml:space="preserve"> PAGEREF _Toc509576799 \h </w:instrText>
        </w:r>
        <w:r w:rsidR="0026102E">
          <w:rPr>
            <w:noProof/>
            <w:webHidden/>
          </w:rPr>
        </w:r>
        <w:r w:rsidR="0026102E">
          <w:rPr>
            <w:noProof/>
            <w:webHidden/>
          </w:rPr>
          <w:fldChar w:fldCharType="separate"/>
        </w:r>
        <w:r w:rsidR="0026102E">
          <w:rPr>
            <w:noProof/>
            <w:webHidden/>
          </w:rPr>
          <w:t>32</w:t>
        </w:r>
        <w:r w:rsidR="0026102E">
          <w:rPr>
            <w:noProof/>
            <w:webHidden/>
          </w:rPr>
          <w:fldChar w:fldCharType="end"/>
        </w:r>
      </w:hyperlink>
    </w:p>
    <w:p w14:paraId="2FD29362" w14:textId="2EDE2C07"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00" w:history="1">
        <w:r w:rsidR="0026102E" w:rsidRPr="00605F4C">
          <w:rPr>
            <w:rStyle w:val="Hyperlink"/>
            <w:noProof/>
          </w:rPr>
          <w:t>Table 6.1: Hourly Categorization of Periods Relating to Changes in CPP Event Window</w:t>
        </w:r>
        <w:r w:rsidR="0026102E">
          <w:rPr>
            <w:noProof/>
            <w:webHidden/>
          </w:rPr>
          <w:tab/>
        </w:r>
        <w:r w:rsidR="0026102E">
          <w:rPr>
            <w:noProof/>
            <w:webHidden/>
          </w:rPr>
          <w:fldChar w:fldCharType="begin"/>
        </w:r>
        <w:r w:rsidR="0026102E">
          <w:rPr>
            <w:noProof/>
            <w:webHidden/>
          </w:rPr>
          <w:instrText xml:space="preserve"> PAGEREF _Toc509576800 \h </w:instrText>
        </w:r>
        <w:r w:rsidR="0026102E">
          <w:rPr>
            <w:noProof/>
            <w:webHidden/>
          </w:rPr>
        </w:r>
        <w:r w:rsidR="0026102E">
          <w:rPr>
            <w:noProof/>
            <w:webHidden/>
          </w:rPr>
          <w:fldChar w:fldCharType="separate"/>
        </w:r>
        <w:r w:rsidR="0026102E">
          <w:rPr>
            <w:noProof/>
            <w:webHidden/>
          </w:rPr>
          <w:t>35</w:t>
        </w:r>
        <w:r w:rsidR="0026102E">
          <w:rPr>
            <w:noProof/>
            <w:webHidden/>
          </w:rPr>
          <w:fldChar w:fldCharType="end"/>
        </w:r>
      </w:hyperlink>
    </w:p>
    <w:p w14:paraId="3C6CE068" w14:textId="6B7D86BA"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01" w:history="1">
        <w:r w:rsidR="0026102E" w:rsidRPr="00605F4C">
          <w:rPr>
            <w:rStyle w:val="Hyperlink"/>
            <w:noProof/>
          </w:rPr>
          <w:t>Table 7.1 Comparison of PY2016 Ex-Post and Current Ex-Post Load Impacts, CPP Event</w:t>
        </w:r>
        <w:r w:rsidR="0026102E">
          <w:rPr>
            <w:noProof/>
            <w:webHidden/>
          </w:rPr>
          <w:tab/>
        </w:r>
        <w:r w:rsidR="0026102E">
          <w:rPr>
            <w:noProof/>
            <w:webHidden/>
          </w:rPr>
          <w:fldChar w:fldCharType="begin"/>
        </w:r>
        <w:r w:rsidR="0026102E">
          <w:rPr>
            <w:noProof/>
            <w:webHidden/>
          </w:rPr>
          <w:instrText xml:space="preserve"> PAGEREF _Toc509576801 \h </w:instrText>
        </w:r>
        <w:r w:rsidR="0026102E">
          <w:rPr>
            <w:noProof/>
            <w:webHidden/>
          </w:rPr>
        </w:r>
        <w:r w:rsidR="0026102E">
          <w:rPr>
            <w:noProof/>
            <w:webHidden/>
          </w:rPr>
          <w:fldChar w:fldCharType="separate"/>
        </w:r>
        <w:r w:rsidR="0026102E">
          <w:rPr>
            <w:noProof/>
            <w:webHidden/>
          </w:rPr>
          <w:t>44</w:t>
        </w:r>
        <w:r w:rsidR="0026102E">
          <w:rPr>
            <w:noProof/>
            <w:webHidden/>
          </w:rPr>
          <w:fldChar w:fldCharType="end"/>
        </w:r>
      </w:hyperlink>
    </w:p>
    <w:p w14:paraId="37E9CC66" w14:textId="35EC6898"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02" w:history="1">
        <w:r w:rsidR="0026102E" w:rsidRPr="00605F4C">
          <w:rPr>
            <w:rStyle w:val="Hyperlink"/>
            <w:noProof/>
          </w:rPr>
          <w:t>Table 7.2 Comparison of PY2016 Ex-Ante 2018 Forecast and Current Ex-Ante 2018 Forecast Load Impacts, CPP Event</w:t>
        </w:r>
        <w:r w:rsidR="0026102E">
          <w:rPr>
            <w:noProof/>
            <w:webHidden/>
          </w:rPr>
          <w:tab/>
        </w:r>
        <w:r w:rsidR="0026102E">
          <w:rPr>
            <w:noProof/>
            <w:webHidden/>
          </w:rPr>
          <w:fldChar w:fldCharType="begin"/>
        </w:r>
        <w:r w:rsidR="0026102E">
          <w:rPr>
            <w:noProof/>
            <w:webHidden/>
          </w:rPr>
          <w:instrText xml:space="preserve"> PAGEREF _Toc509576802 \h </w:instrText>
        </w:r>
        <w:r w:rsidR="0026102E">
          <w:rPr>
            <w:noProof/>
            <w:webHidden/>
          </w:rPr>
        </w:r>
        <w:r w:rsidR="0026102E">
          <w:rPr>
            <w:noProof/>
            <w:webHidden/>
          </w:rPr>
          <w:fldChar w:fldCharType="separate"/>
        </w:r>
        <w:r w:rsidR="0026102E">
          <w:rPr>
            <w:noProof/>
            <w:webHidden/>
          </w:rPr>
          <w:t>44</w:t>
        </w:r>
        <w:r w:rsidR="0026102E">
          <w:rPr>
            <w:noProof/>
            <w:webHidden/>
          </w:rPr>
          <w:fldChar w:fldCharType="end"/>
        </w:r>
      </w:hyperlink>
    </w:p>
    <w:p w14:paraId="1F533DFF" w14:textId="367C9E92"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03" w:history="1">
        <w:r w:rsidR="0026102E" w:rsidRPr="00605F4C">
          <w:rPr>
            <w:rStyle w:val="Hyperlink"/>
            <w:noProof/>
          </w:rPr>
          <w:t>Table 7.3 Comparison of PY2016 Ex-Ante 2017 Forecast and Current Ex-Post Load Impacts, CPP Event</w:t>
        </w:r>
        <w:r w:rsidR="0026102E">
          <w:rPr>
            <w:noProof/>
            <w:webHidden/>
          </w:rPr>
          <w:tab/>
        </w:r>
        <w:r w:rsidR="0026102E">
          <w:rPr>
            <w:noProof/>
            <w:webHidden/>
          </w:rPr>
          <w:fldChar w:fldCharType="begin"/>
        </w:r>
        <w:r w:rsidR="0026102E">
          <w:rPr>
            <w:noProof/>
            <w:webHidden/>
          </w:rPr>
          <w:instrText xml:space="preserve"> PAGEREF _Toc509576803 \h </w:instrText>
        </w:r>
        <w:r w:rsidR="0026102E">
          <w:rPr>
            <w:noProof/>
            <w:webHidden/>
          </w:rPr>
        </w:r>
        <w:r w:rsidR="0026102E">
          <w:rPr>
            <w:noProof/>
            <w:webHidden/>
          </w:rPr>
          <w:fldChar w:fldCharType="separate"/>
        </w:r>
        <w:r w:rsidR="0026102E">
          <w:rPr>
            <w:noProof/>
            <w:webHidden/>
          </w:rPr>
          <w:t>45</w:t>
        </w:r>
        <w:r w:rsidR="0026102E">
          <w:rPr>
            <w:noProof/>
            <w:webHidden/>
          </w:rPr>
          <w:fldChar w:fldCharType="end"/>
        </w:r>
      </w:hyperlink>
    </w:p>
    <w:p w14:paraId="577E2A6A" w14:textId="5E0E4EED"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04" w:history="1">
        <w:r w:rsidR="0026102E" w:rsidRPr="00605F4C">
          <w:rPr>
            <w:rStyle w:val="Hyperlink"/>
            <w:noProof/>
          </w:rPr>
          <w:t>Table 7.4: Comparison of Current Ex-Post and Ex-Ante Load Impacts, CPP Event</w:t>
        </w:r>
        <w:r w:rsidR="0026102E">
          <w:rPr>
            <w:noProof/>
            <w:webHidden/>
          </w:rPr>
          <w:tab/>
        </w:r>
        <w:r w:rsidR="0026102E">
          <w:rPr>
            <w:noProof/>
            <w:webHidden/>
          </w:rPr>
          <w:fldChar w:fldCharType="begin"/>
        </w:r>
        <w:r w:rsidR="0026102E">
          <w:rPr>
            <w:noProof/>
            <w:webHidden/>
          </w:rPr>
          <w:instrText xml:space="preserve"> PAGEREF _Toc509576804 \h </w:instrText>
        </w:r>
        <w:r w:rsidR="0026102E">
          <w:rPr>
            <w:noProof/>
            <w:webHidden/>
          </w:rPr>
        </w:r>
        <w:r w:rsidR="0026102E">
          <w:rPr>
            <w:noProof/>
            <w:webHidden/>
          </w:rPr>
          <w:fldChar w:fldCharType="separate"/>
        </w:r>
        <w:r w:rsidR="0026102E">
          <w:rPr>
            <w:noProof/>
            <w:webHidden/>
          </w:rPr>
          <w:t>45</w:t>
        </w:r>
        <w:r w:rsidR="0026102E">
          <w:rPr>
            <w:noProof/>
            <w:webHidden/>
          </w:rPr>
          <w:fldChar w:fldCharType="end"/>
        </w:r>
      </w:hyperlink>
    </w:p>
    <w:p w14:paraId="1E2E08FD" w14:textId="6DBE80D5"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05" w:history="1">
        <w:r w:rsidR="0026102E" w:rsidRPr="00605F4C">
          <w:rPr>
            <w:rStyle w:val="Hyperlink"/>
            <w:noProof/>
          </w:rPr>
          <w:t>Table 7.5: Ex-Post versus Ex-Ante Factors, CPP Event</w:t>
        </w:r>
        <w:r w:rsidR="0026102E">
          <w:rPr>
            <w:noProof/>
            <w:webHidden/>
          </w:rPr>
          <w:tab/>
        </w:r>
        <w:r w:rsidR="0026102E">
          <w:rPr>
            <w:noProof/>
            <w:webHidden/>
          </w:rPr>
          <w:fldChar w:fldCharType="begin"/>
        </w:r>
        <w:r w:rsidR="0026102E">
          <w:rPr>
            <w:noProof/>
            <w:webHidden/>
          </w:rPr>
          <w:instrText xml:space="preserve"> PAGEREF _Toc509576805 \h </w:instrText>
        </w:r>
        <w:r w:rsidR="0026102E">
          <w:rPr>
            <w:noProof/>
            <w:webHidden/>
          </w:rPr>
        </w:r>
        <w:r w:rsidR="0026102E">
          <w:rPr>
            <w:noProof/>
            <w:webHidden/>
          </w:rPr>
          <w:fldChar w:fldCharType="separate"/>
        </w:r>
        <w:r w:rsidR="0026102E">
          <w:rPr>
            <w:noProof/>
            <w:webHidden/>
          </w:rPr>
          <w:t>46</w:t>
        </w:r>
        <w:r w:rsidR="0026102E">
          <w:rPr>
            <w:noProof/>
            <w:webHidden/>
          </w:rPr>
          <w:fldChar w:fldCharType="end"/>
        </w:r>
      </w:hyperlink>
    </w:p>
    <w:p w14:paraId="671B9BA3" w14:textId="06FCB6D3"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06" w:history="1">
        <w:r w:rsidR="0026102E" w:rsidRPr="00605F4C">
          <w:rPr>
            <w:rStyle w:val="Hyperlink"/>
            <w:noProof/>
          </w:rPr>
          <w:t>Table 7.6 Comparison of PY2016 Ex-Post and PY2017 Ex-Post TOU Load Impacts</w:t>
        </w:r>
        <w:r w:rsidR="0026102E">
          <w:rPr>
            <w:noProof/>
            <w:webHidden/>
          </w:rPr>
          <w:tab/>
        </w:r>
        <w:r w:rsidR="0026102E">
          <w:rPr>
            <w:noProof/>
            <w:webHidden/>
          </w:rPr>
          <w:fldChar w:fldCharType="begin"/>
        </w:r>
        <w:r w:rsidR="0026102E">
          <w:rPr>
            <w:noProof/>
            <w:webHidden/>
          </w:rPr>
          <w:instrText xml:space="preserve"> PAGEREF _Toc509576806 \h </w:instrText>
        </w:r>
        <w:r w:rsidR="0026102E">
          <w:rPr>
            <w:noProof/>
            <w:webHidden/>
          </w:rPr>
        </w:r>
        <w:r w:rsidR="0026102E">
          <w:rPr>
            <w:noProof/>
            <w:webHidden/>
          </w:rPr>
          <w:fldChar w:fldCharType="separate"/>
        </w:r>
        <w:r w:rsidR="0026102E">
          <w:rPr>
            <w:noProof/>
            <w:webHidden/>
          </w:rPr>
          <w:t>47</w:t>
        </w:r>
        <w:r w:rsidR="0026102E">
          <w:rPr>
            <w:noProof/>
            <w:webHidden/>
          </w:rPr>
          <w:fldChar w:fldCharType="end"/>
        </w:r>
      </w:hyperlink>
    </w:p>
    <w:p w14:paraId="292EB23B" w14:textId="75FF5978"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07" w:history="1">
        <w:r w:rsidR="0026102E" w:rsidRPr="00605F4C">
          <w:rPr>
            <w:rStyle w:val="Hyperlink"/>
            <w:noProof/>
          </w:rPr>
          <w:t>Table 7.7 Comparison of PY2016 Ex-Ante 2018 Forecast and PY2017 Ex-Ante 2018 Forecast TOU Load Impacts</w:t>
        </w:r>
        <w:r w:rsidR="0026102E">
          <w:rPr>
            <w:noProof/>
            <w:webHidden/>
          </w:rPr>
          <w:tab/>
        </w:r>
        <w:r w:rsidR="0026102E">
          <w:rPr>
            <w:noProof/>
            <w:webHidden/>
          </w:rPr>
          <w:fldChar w:fldCharType="begin"/>
        </w:r>
        <w:r w:rsidR="0026102E">
          <w:rPr>
            <w:noProof/>
            <w:webHidden/>
          </w:rPr>
          <w:instrText xml:space="preserve"> PAGEREF _Toc509576807 \h </w:instrText>
        </w:r>
        <w:r w:rsidR="0026102E">
          <w:rPr>
            <w:noProof/>
            <w:webHidden/>
          </w:rPr>
        </w:r>
        <w:r w:rsidR="0026102E">
          <w:rPr>
            <w:noProof/>
            <w:webHidden/>
          </w:rPr>
          <w:fldChar w:fldCharType="separate"/>
        </w:r>
        <w:r w:rsidR="0026102E">
          <w:rPr>
            <w:noProof/>
            <w:webHidden/>
          </w:rPr>
          <w:t>47</w:t>
        </w:r>
        <w:r w:rsidR="0026102E">
          <w:rPr>
            <w:noProof/>
            <w:webHidden/>
          </w:rPr>
          <w:fldChar w:fldCharType="end"/>
        </w:r>
      </w:hyperlink>
    </w:p>
    <w:p w14:paraId="7F783821" w14:textId="15147E23"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08" w:history="1">
        <w:r w:rsidR="0026102E" w:rsidRPr="00605F4C">
          <w:rPr>
            <w:rStyle w:val="Hyperlink"/>
            <w:noProof/>
          </w:rPr>
          <w:t>Table 7.8 Comparison of PY2016 Ex-Ante 2017 Forecast and PY2017 Ex-Post TOU Load Impacts</w:t>
        </w:r>
        <w:r w:rsidR="0026102E">
          <w:rPr>
            <w:noProof/>
            <w:webHidden/>
          </w:rPr>
          <w:tab/>
        </w:r>
        <w:r w:rsidR="0026102E">
          <w:rPr>
            <w:noProof/>
            <w:webHidden/>
          </w:rPr>
          <w:fldChar w:fldCharType="begin"/>
        </w:r>
        <w:r w:rsidR="0026102E">
          <w:rPr>
            <w:noProof/>
            <w:webHidden/>
          </w:rPr>
          <w:instrText xml:space="preserve"> PAGEREF _Toc509576808 \h </w:instrText>
        </w:r>
        <w:r w:rsidR="0026102E">
          <w:rPr>
            <w:noProof/>
            <w:webHidden/>
          </w:rPr>
        </w:r>
        <w:r w:rsidR="0026102E">
          <w:rPr>
            <w:noProof/>
            <w:webHidden/>
          </w:rPr>
          <w:fldChar w:fldCharType="separate"/>
        </w:r>
        <w:r w:rsidR="0026102E">
          <w:rPr>
            <w:noProof/>
            <w:webHidden/>
          </w:rPr>
          <w:t>48</w:t>
        </w:r>
        <w:r w:rsidR="0026102E">
          <w:rPr>
            <w:noProof/>
            <w:webHidden/>
          </w:rPr>
          <w:fldChar w:fldCharType="end"/>
        </w:r>
      </w:hyperlink>
    </w:p>
    <w:p w14:paraId="420E3AC1" w14:textId="60469ACB"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09" w:history="1">
        <w:r w:rsidR="0026102E" w:rsidRPr="00605F4C">
          <w:rPr>
            <w:rStyle w:val="Hyperlink"/>
            <w:noProof/>
          </w:rPr>
          <w:t>Table 7.9: Comparison of Current Ex-Post and Ex-Ante TOU Load Impacts</w:t>
        </w:r>
        <w:r w:rsidR="0026102E">
          <w:rPr>
            <w:noProof/>
            <w:webHidden/>
          </w:rPr>
          <w:tab/>
        </w:r>
        <w:r w:rsidR="0026102E">
          <w:rPr>
            <w:noProof/>
            <w:webHidden/>
          </w:rPr>
          <w:fldChar w:fldCharType="begin"/>
        </w:r>
        <w:r w:rsidR="0026102E">
          <w:rPr>
            <w:noProof/>
            <w:webHidden/>
          </w:rPr>
          <w:instrText xml:space="preserve"> PAGEREF _Toc509576809 \h </w:instrText>
        </w:r>
        <w:r w:rsidR="0026102E">
          <w:rPr>
            <w:noProof/>
            <w:webHidden/>
          </w:rPr>
        </w:r>
        <w:r w:rsidR="0026102E">
          <w:rPr>
            <w:noProof/>
            <w:webHidden/>
          </w:rPr>
          <w:fldChar w:fldCharType="separate"/>
        </w:r>
        <w:r w:rsidR="0026102E">
          <w:rPr>
            <w:noProof/>
            <w:webHidden/>
          </w:rPr>
          <w:t>48</w:t>
        </w:r>
        <w:r w:rsidR="0026102E">
          <w:rPr>
            <w:noProof/>
            <w:webHidden/>
          </w:rPr>
          <w:fldChar w:fldCharType="end"/>
        </w:r>
      </w:hyperlink>
    </w:p>
    <w:p w14:paraId="5C8A427D" w14:textId="20216E40" w:rsidR="008C53F9" w:rsidRDefault="008C53F9" w:rsidP="00095AB1">
      <w:pPr>
        <w:spacing w:after="120"/>
      </w:pPr>
      <w:r w:rsidRPr="006B1FF9">
        <w:rPr>
          <w:b/>
          <w:bCs/>
          <w:noProof/>
          <w:sz w:val="22"/>
          <w:szCs w:val="22"/>
        </w:rPr>
        <w:fldChar w:fldCharType="end"/>
      </w:r>
    </w:p>
    <w:p w14:paraId="3F25A248" w14:textId="77777777" w:rsidR="008C53F9" w:rsidRPr="006B553B" w:rsidRDefault="008C53F9" w:rsidP="00095AB1">
      <w:pPr>
        <w:spacing w:after="120"/>
        <w:jc w:val="center"/>
        <w:rPr>
          <w:b/>
        </w:rPr>
      </w:pPr>
      <w:r>
        <w:br w:type="page"/>
      </w:r>
      <w:r w:rsidRPr="006B553B">
        <w:rPr>
          <w:b/>
        </w:rPr>
        <w:lastRenderedPageBreak/>
        <w:t>List of Figures</w:t>
      </w:r>
    </w:p>
    <w:p w14:paraId="21CF7B13" w14:textId="77777777" w:rsidR="008C53F9" w:rsidRDefault="008C53F9" w:rsidP="00095AB1">
      <w:pPr>
        <w:spacing w:after="120"/>
      </w:pPr>
    </w:p>
    <w:p w14:paraId="7ECA2278" w14:textId="5BB2B31C" w:rsidR="0026102E" w:rsidRDefault="008C53F9">
      <w:pPr>
        <w:pStyle w:val="TableofFigures"/>
        <w:tabs>
          <w:tab w:val="right" w:leader="dot" w:pos="8630"/>
        </w:tabs>
        <w:rPr>
          <w:rFonts w:asciiTheme="minorHAnsi" w:eastAsiaTheme="minorEastAsia" w:hAnsiTheme="minorHAnsi" w:cstheme="minorBidi"/>
          <w:noProof/>
          <w:sz w:val="22"/>
          <w:szCs w:val="22"/>
        </w:rPr>
      </w:pPr>
      <w:r w:rsidRPr="009A1C27">
        <w:rPr>
          <w:sz w:val="22"/>
          <w:szCs w:val="22"/>
        </w:rPr>
        <w:fldChar w:fldCharType="begin"/>
      </w:r>
      <w:r w:rsidRPr="009A1C27">
        <w:rPr>
          <w:sz w:val="22"/>
          <w:szCs w:val="22"/>
        </w:rPr>
        <w:instrText xml:space="preserve"> TOC \h \z \t "Figure Caption" \c </w:instrText>
      </w:r>
      <w:r w:rsidRPr="009A1C27">
        <w:rPr>
          <w:sz w:val="22"/>
          <w:szCs w:val="22"/>
        </w:rPr>
        <w:fldChar w:fldCharType="separate"/>
      </w:r>
      <w:hyperlink w:anchor="_Toc509576810" w:history="1">
        <w:r w:rsidR="0026102E" w:rsidRPr="001A74E6">
          <w:rPr>
            <w:rStyle w:val="Hyperlink"/>
            <w:noProof/>
          </w:rPr>
          <w:t>Figure ES.1: Enrollments in TOU and CPP Rates</w:t>
        </w:r>
        <w:r w:rsidR="0026102E">
          <w:rPr>
            <w:noProof/>
            <w:webHidden/>
          </w:rPr>
          <w:tab/>
        </w:r>
        <w:r w:rsidR="0026102E">
          <w:rPr>
            <w:noProof/>
            <w:webHidden/>
          </w:rPr>
          <w:fldChar w:fldCharType="begin"/>
        </w:r>
        <w:r w:rsidR="0026102E">
          <w:rPr>
            <w:noProof/>
            <w:webHidden/>
          </w:rPr>
          <w:instrText xml:space="preserve"> PAGEREF _Toc509576810 \h </w:instrText>
        </w:r>
        <w:r w:rsidR="0026102E">
          <w:rPr>
            <w:noProof/>
            <w:webHidden/>
          </w:rPr>
        </w:r>
        <w:r w:rsidR="0026102E">
          <w:rPr>
            <w:noProof/>
            <w:webHidden/>
          </w:rPr>
          <w:fldChar w:fldCharType="separate"/>
        </w:r>
        <w:r w:rsidR="0026102E">
          <w:rPr>
            <w:noProof/>
            <w:webHidden/>
          </w:rPr>
          <w:t>7</w:t>
        </w:r>
        <w:r w:rsidR="0026102E">
          <w:rPr>
            <w:noProof/>
            <w:webHidden/>
          </w:rPr>
          <w:fldChar w:fldCharType="end"/>
        </w:r>
      </w:hyperlink>
    </w:p>
    <w:p w14:paraId="2B9952CD" w14:textId="275FA574"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11" w:history="1">
        <w:r w:rsidR="0026102E" w:rsidRPr="001A74E6">
          <w:rPr>
            <w:rStyle w:val="Hyperlink"/>
            <w:noProof/>
          </w:rPr>
          <w:t>Figure ES.2: Aggregate CPP Load Impacts (MWh/h), by Year and Weather Scenario (SDG&amp;E 1-in-2 Peak Day, RA Window)</w:t>
        </w:r>
        <w:r w:rsidR="0026102E">
          <w:rPr>
            <w:noProof/>
            <w:webHidden/>
          </w:rPr>
          <w:tab/>
        </w:r>
        <w:r w:rsidR="0026102E">
          <w:rPr>
            <w:noProof/>
            <w:webHidden/>
          </w:rPr>
          <w:fldChar w:fldCharType="begin"/>
        </w:r>
        <w:r w:rsidR="0026102E">
          <w:rPr>
            <w:noProof/>
            <w:webHidden/>
          </w:rPr>
          <w:instrText xml:space="preserve"> PAGEREF _Toc509576811 \h </w:instrText>
        </w:r>
        <w:r w:rsidR="0026102E">
          <w:rPr>
            <w:noProof/>
            <w:webHidden/>
          </w:rPr>
        </w:r>
        <w:r w:rsidR="0026102E">
          <w:rPr>
            <w:noProof/>
            <w:webHidden/>
          </w:rPr>
          <w:fldChar w:fldCharType="separate"/>
        </w:r>
        <w:r w:rsidR="0026102E">
          <w:rPr>
            <w:noProof/>
            <w:webHidden/>
          </w:rPr>
          <w:t>8</w:t>
        </w:r>
        <w:r w:rsidR="0026102E">
          <w:rPr>
            <w:noProof/>
            <w:webHidden/>
          </w:rPr>
          <w:fldChar w:fldCharType="end"/>
        </w:r>
      </w:hyperlink>
    </w:p>
    <w:p w14:paraId="340A4A08" w14:textId="46A774CE"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12" w:history="1">
        <w:r w:rsidR="0026102E" w:rsidRPr="001A74E6">
          <w:rPr>
            <w:rStyle w:val="Hyperlink"/>
            <w:noProof/>
          </w:rPr>
          <w:t>Figure ES.3: Aggregate TOU Load Impacts (MWh/h), by Year and Weather Scenario –  TOU-DR and TOU-DR-P Customers (SDG&amp;E 1-in-2 Average Weekday, RA Window)</w:t>
        </w:r>
        <w:r w:rsidR="0026102E">
          <w:rPr>
            <w:noProof/>
            <w:webHidden/>
          </w:rPr>
          <w:tab/>
        </w:r>
        <w:r w:rsidR="0026102E">
          <w:rPr>
            <w:noProof/>
            <w:webHidden/>
          </w:rPr>
          <w:fldChar w:fldCharType="begin"/>
        </w:r>
        <w:r w:rsidR="0026102E">
          <w:rPr>
            <w:noProof/>
            <w:webHidden/>
          </w:rPr>
          <w:instrText xml:space="preserve"> PAGEREF _Toc509576812 \h </w:instrText>
        </w:r>
        <w:r w:rsidR="0026102E">
          <w:rPr>
            <w:noProof/>
            <w:webHidden/>
          </w:rPr>
        </w:r>
        <w:r w:rsidR="0026102E">
          <w:rPr>
            <w:noProof/>
            <w:webHidden/>
          </w:rPr>
          <w:fldChar w:fldCharType="separate"/>
        </w:r>
        <w:r w:rsidR="0026102E">
          <w:rPr>
            <w:noProof/>
            <w:webHidden/>
          </w:rPr>
          <w:t>9</w:t>
        </w:r>
        <w:r w:rsidR="0026102E">
          <w:rPr>
            <w:noProof/>
            <w:webHidden/>
          </w:rPr>
          <w:fldChar w:fldCharType="end"/>
        </w:r>
      </w:hyperlink>
    </w:p>
    <w:p w14:paraId="09C6DA4B" w14:textId="5BCB0A37"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13" w:history="1">
        <w:r w:rsidR="0026102E" w:rsidRPr="001A74E6">
          <w:rPr>
            <w:rStyle w:val="Hyperlink"/>
            <w:noProof/>
          </w:rPr>
          <w:t>Figure 3.1: Average Event-Hour Temperatures</w:t>
        </w:r>
        <w:r w:rsidR="0026102E">
          <w:rPr>
            <w:noProof/>
            <w:webHidden/>
          </w:rPr>
          <w:tab/>
        </w:r>
        <w:r w:rsidR="0026102E">
          <w:rPr>
            <w:noProof/>
            <w:webHidden/>
          </w:rPr>
          <w:fldChar w:fldCharType="begin"/>
        </w:r>
        <w:r w:rsidR="0026102E">
          <w:rPr>
            <w:noProof/>
            <w:webHidden/>
          </w:rPr>
          <w:instrText xml:space="preserve"> PAGEREF _Toc509576813 \h </w:instrText>
        </w:r>
        <w:r w:rsidR="0026102E">
          <w:rPr>
            <w:noProof/>
            <w:webHidden/>
          </w:rPr>
        </w:r>
        <w:r w:rsidR="0026102E">
          <w:rPr>
            <w:noProof/>
            <w:webHidden/>
          </w:rPr>
          <w:fldChar w:fldCharType="separate"/>
        </w:r>
        <w:r w:rsidR="0026102E">
          <w:rPr>
            <w:noProof/>
            <w:webHidden/>
          </w:rPr>
          <w:t>13</w:t>
        </w:r>
        <w:r w:rsidR="0026102E">
          <w:rPr>
            <w:noProof/>
            <w:webHidden/>
          </w:rPr>
          <w:fldChar w:fldCharType="end"/>
        </w:r>
      </w:hyperlink>
    </w:p>
    <w:p w14:paraId="2CB12A5E" w14:textId="0572315E"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14" w:history="1">
        <w:r w:rsidR="0026102E" w:rsidRPr="001A74E6">
          <w:rPr>
            <w:rStyle w:val="Hyperlink"/>
            <w:noProof/>
          </w:rPr>
          <w:t>Figure 4.1: CPP and Matched Control Group Load Profiles – Average Event-Like Day</w:t>
        </w:r>
        <w:r w:rsidR="0026102E">
          <w:rPr>
            <w:noProof/>
            <w:webHidden/>
          </w:rPr>
          <w:tab/>
        </w:r>
        <w:r w:rsidR="0026102E">
          <w:rPr>
            <w:noProof/>
            <w:webHidden/>
          </w:rPr>
          <w:fldChar w:fldCharType="begin"/>
        </w:r>
        <w:r w:rsidR="0026102E">
          <w:rPr>
            <w:noProof/>
            <w:webHidden/>
          </w:rPr>
          <w:instrText xml:space="preserve"> PAGEREF _Toc509576814 \h </w:instrText>
        </w:r>
        <w:r w:rsidR="0026102E">
          <w:rPr>
            <w:noProof/>
            <w:webHidden/>
          </w:rPr>
        </w:r>
        <w:r w:rsidR="0026102E">
          <w:rPr>
            <w:noProof/>
            <w:webHidden/>
          </w:rPr>
          <w:fldChar w:fldCharType="separate"/>
        </w:r>
        <w:r w:rsidR="0026102E">
          <w:rPr>
            <w:noProof/>
            <w:webHidden/>
          </w:rPr>
          <w:t>19</w:t>
        </w:r>
        <w:r w:rsidR="0026102E">
          <w:rPr>
            <w:noProof/>
            <w:webHidden/>
          </w:rPr>
          <w:fldChar w:fldCharType="end"/>
        </w:r>
      </w:hyperlink>
    </w:p>
    <w:p w14:paraId="23B317B1" w14:textId="1E1E44E0"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15" w:history="1">
        <w:r w:rsidR="0026102E" w:rsidRPr="001A74E6">
          <w:rPr>
            <w:rStyle w:val="Hyperlink"/>
            <w:noProof/>
          </w:rPr>
          <w:t>Figure 4.2: Aggregate CPP Hourly Loads and Load Impacts (MWh/h)  – Average Weekday Event</w:t>
        </w:r>
        <w:r w:rsidR="0026102E">
          <w:rPr>
            <w:noProof/>
            <w:webHidden/>
          </w:rPr>
          <w:tab/>
        </w:r>
        <w:r w:rsidR="0026102E">
          <w:rPr>
            <w:noProof/>
            <w:webHidden/>
          </w:rPr>
          <w:fldChar w:fldCharType="begin"/>
        </w:r>
        <w:r w:rsidR="0026102E">
          <w:rPr>
            <w:noProof/>
            <w:webHidden/>
          </w:rPr>
          <w:instrText xml:space="preserve"> PAGEREF _Toc509576815 \h </w:instrText>
        </w:r>
        <w:r w:rsidR="0026102E">
          <w:rPr>
            <w:noProof/>
            <w:webHidden/>
          </w:rPr>
        </w:r>
        <w:r w:rsidR="0026102E">
          <w:rPr>
            <w:noProof/>
            <w:webHidden/>
          </w:rPr>
          <w:fldChar w:fldCharType="separate"/>
        </w:r>
        <w:r w:rsidR="0026102E">
          <w:rPr>
            <w:noProof/>
            <w:webHidden/>
          </w:rPr>
          <w:t>21</w:t>
        </w:r>
        <w:r w:rsidR="0026102E">
          <w:rPr>
            <w:noProof/>
            <w:webHidden/>
          </w:rPr>
          <w:fldChar w:fldCharType="end"/>
        </w:r>
      </w:hyperlink>
    </w:p>
    <w:p w14:paraId="28A095FA" w14:textId="66E842DD"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16" w:history="1">
        <w:r w:rsidR="0026102E" w:rsidRPr="001A74E6">
          <w:rPr>
            <w:rStyle w:val="Hyperlink"/>
            <w:noProof/>
          </w:rPr>
          <w:t>Figure 4.3: CPP+SCTD Hourly Loads and Load Impacts for Dually Enrolled Customers  – Average Weekday Event</w:t>
        </w:r>
        <w:r w:rsidR="0026102E">
          <w:rPr>
            <w:noProof/>
            <w:webHidden/>
          </w:rPr>
          <w:tab/>
        </w:r>
        <w:r w:rsidR="0026102E">
          <w:rPr>
            <w:noProof/>
            <w:webHidden/>
          </w:rPr>
          <w:fldChar w:fldCharType="begin"/>
        </w:r>
        <w:r w:rsidR="0026102E">
          <w:rPr>
            <w:noProof/>
            <w:webHidden/>
          </w:rPr>
          <w:instrText xml:space="preserve"> PAGEREF _Toc509576816 \h </w:instrText>
        </w:r>
        <w:r w:rsidR="0026102E">
          <w:rPr>
            <w:noProof/>
            <w:webHidden/>
          </w:rPr>
        </w:r>
        <w:r w:rsidR="0026102E">
          <w:rPr>
            <w:noProof/>
            <w:webHidden/>
          </w:rPr>
          <w:fldChar w:fldCharType="separate"/>
        </w:r>
        <w:r w:rsidR="0026102E">
          <w:rPr>
            <w:noProof/>
            <w:webHidden/>
          </w:rPr>
          <w:t>23</w:t>
        </w:r>
        <w:r w:rsidR="0026102E">
          <w:rPr>
            <w:noProof/>
            <w:webHidden/>
          </w:rPr>
          <w:fldChar w:fldCharType="end"/>
        </w:r>
      </w:hyperlink>
    </w:p>
    <w:p w14:paraId="33A665E6" w14:textId="773821CC"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17" w:history="1">
        <w:r w:rsidR="0026102E" w:rsidRPr="001A74E6">
          <w:rPr>
            <w:rStyle w:val="Hyperlink"/>
            <w:noProof/>
          </w:rPr>
          <w:t>Figure 5.1: TOU and Matched Control Group Load Profiles – Summer</w:t>
        </w:r>
        <w:r w:rsidR="0026102E">
          <w:rPr>
            <w:noProof/>
            <w:webHidden/>
          </w:rPr>
          <w:tab/>
        </w:r>
        <w:r w:rsidR="0026102E">
          <w:rPr>
            <w:noProof/>
            <w:webHidden/>
          </w:rPr>
          <w:fldChar w:fldCharType="begin"/>
        </w:r>
        <w:r w:rsidR="0026102E">
          <w:rPr>
            <w:noProof/>
            <w:webHidden/>
          </w:rPr>
          <w:instrText xml:space="preserve"> PAGEREF _Toc509576817 \h </w:instrText>
        </w:r>
        <w:r w:rsidR="0026102E">
          <w:rPr>
            <w:noProof/>
            <w:webHidden/>
          </w:rPr>
        </w:r>
        <w:r w:rsidR="0026102E">
          <w:rPr>
            <w:noProof/>
            <w:webHidden/>
          </w:rPr>
          <w:fldChar w:fldCharType="separate"/>
        </w:r>
        <w:r w:rsidR="0026102E">
          <w:rPr>
            <w:noProof/>
            <w:webHidden/>
          </w:rPr>
          <w:t>24</w:t>
        </w:r>
        <w:r w:rsidR="0026102E">
          <w:rPr>
            <w:noProof/>
            <w:webHidden/>
          </w:rPr>
          <w:fldChar w:fldCharType="end"/>
        </w:r>
      </w:hyperlink>
    </w:p>
    <w:p w14:paraId="119FE660" w14:textId="11583FE6"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18" w:history="1">
        <w:r w:rsidR="0026102E" w:rsidRPr="001A74E6">
          <w:rPr>
            <w:rStyle w:val="Hyperlink"/>
            <w:noProof/>
          </w:rPr>
          <w:t>Figure 5.2: TOU and Matched Control Group Load Profiles – Winter</w:t>
        </w:r>
        <w:r w:rsidR="0026102E">
          <w:rPr>
            <w:noProof/>
            <w:webHidden/>
          </w:rPr>
          <w:tab/>
        </w:r>
        <w:r w:rsidR="0026102E">
          <w:rPr>
            <w:noProof/>
            <w:webHidden/>
          </w:rPr>
          <w:fldChar w:fldCharType="begin"/>
        </w:r>
        <w:r w:rsidR="0026102E">
          <w:rPr>
            <w:noProof/>
            <w:webHidden/>
          </w:rPr>
          <w:instrText xml:space="preserve"> PAGEREF _Toc509576818 \h </w:instrText>
        </w:r>
        <w:r w:rsidR="0026102E">
          <w:rPr>
            <w:noProof/>
            <w:webHidden/>
          </w:rPr>
        </w:r>
        <w:r w:rsidR="0026102E">
          <w:rPr>
            <w:noProof/>
            <w:webHidden/>
          </w:rPr>
          <w:fldChar w:fldCharType="separate"/>
        </w:r>
        <w:r w:rsidR="0026102E">
          <w:rPr>
            <w:noProof/>
            <w:webHidden/>
          </w:rPr>
          <w:t>24</w:t>
        </w:r>
        <w:r w:rsidR="0026102E">
          <w:rPr>
            <w:noProof/>
            <w:webHidden/>
          </w:rPr>
          <w:fldChar w:fldCharType="end"/>
        </w:r>
      </w:hyperlink>
    </w:p>
    <w:p w14:paraId="3E559EBB" w14:textId="4DB9DBA2"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19" w:history="1">
        <w:r w:rsidR="0026102E" w:rsidRPr="001A74E6">
          <w:rPr>
            <w:rStyle w:val="Hyperlink"/>
            <w:noProof/>
          </w:rPr>
          <w:t>Figure 5.3: Aggregate Hourly Loads and TOU Load Impacts (MWh/h) – TOU Customers (Average Weekday, August 2017)</w:t>
        </w:r>
        <w:r w:rsidR="0026102E">
          <w:rPr>
            <w:noProof/>
            <w:webHidden/>
          </w:rPr>
          <w:tab/>
        </w:r>
        <w:r w:rsidR="0026102E">
          <w:rPr>
            <w:noProof/>
            <w:webHidden/>
          </w:rPr>
          <w:fldChar w:fldCharType="begin"/>
        </w:r>
        <w:r w:rsidR="0026102E">
          <w:rPr>
            <w:noProof/>
            <w:webHidden/>
          </w:rPr>
          <w:instrText xml:space="preserve"> PAGEREF _Toc509576819 \h </w:instrText>
        </w:r>
        <w:r w:rsidR="0026102E">
          <w:rPr>
            <w:noProof/>
            <w:webHidden/>
          </w:rPr>
        </w:r>
        <w:r w:rsidR="0026102E">
          <w:rPr>
            <w:noProof/>
            <w:webHidden/>
          </w:rPr>
          <w:fldChar w:fldCharType="separate"/>
        </w:r>
        <w:r w:rsidR="0026102E">
          <w:rPr>
            <w:noProof/>
            <w:webHidden/>
          </w:rPr>
          <w:t>28</w:t>
        </w:r>
        <w:r w:rsidR="0026102E">
          <w:rPr>
            <w:noProof/>
            <w:webHidden/>
          </w:rPr>
          <w:fldChar w:fldCharType="end"/>
        </w:r>
      </w:hyperlink>
    </w:p>
    <w:p w14:paraId="75B74C10" w14:textId="16840AC9"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20" w:history="1">
        <w:r w:rsidR="0026102E" w:rsidRPr="001A74E6">
          <w:rPr>
            <w:rStyle w:val="Hyperlink"/>
            <w:noProof/>
          </w:rPr>
          <w:t>Figure 5.4: Aggregate Hourly Loads and TOU Load Impacts (MWh/h) – TOU Customers (Average Weekday, January 2017)</w:t>
        </w:r>
        <w:r w:rsidR="0026102E">
          <w:rPr>
            <w:noProof/>
            <w:webHidden/>
          </w:rPr>
          <w:tab/>
        </w:r>
        <w:r w:rsidR="0026102E">
          <w:rPr>
            <w:noProof/>
            <w:webHidden/>
          </w:rPr>
          <w:fldChar w:fldCharType="begin"/>
        </w:r>
        <w:r w:rsidR="0026102E">
          <w:rPr>
            <w:noProof/>
            <w:webHidden/>
          </w:rPr>
          <w:instrText xml:space="preserve"> PAGEREF _Toc509576820 \h </w:instrText>
        </w:r>
        <w:r w:rsidR="0026102E">
          <w:rPr>
            <w:noProof/>
            <w:webHidden/>
          </w:rPr>
        </w:r>
        <w:r w:rsidR="0026102E">
          <w:rPr>
            <w:noProof/>
            <w:webHidden/>
          </w:rPr>
          <w:fldChar w:fldCharType="separate"/>
        </w:r>
        <w:r w:rsidR="0026102E">
          <w:rPr>
            <w:noProof/>
            <w:webHidden/>
          </w:rPr>
          <w:t>28</w:t>
        </w:r>
        <w:r w:rsidR="0026102E">
          <w:rPr>
            <w:noProof/>
            <w:webHidden/>
          </w:rPr>
          <w:fldChar w:fldCharType="end"/>
        </w:r>
      </w:hyperlink>
    </w:p>
    <w:p w14:paraId="13EE03BE" w14:textId="3DFC0EC6"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21" w:history="1">
        <w:r w:rsidR="0026102E" w:rsidRPr="001A74E6">
          <w:rPr>
            <w:rStyle w:val="Hyperlink"/>
            <w:noProof/>
          </w:rPr>
          <w:t>Figure 5.5: CPP and Matched Control Group Load Profiles – Summer</w:t>
        </w:r>
        <w:r w:rsidR="0026102E">
          <w:rPr>
            <w:noProof/>
            <w:webHidden/>
          </w:rPr>
          <w:tab/>
        </w:r>
        <w:r w:rsidR="0026102E">
          <w:rPr>
            <w:noProof/>
            <w:webHidden/>
          </w:rPr>
          <w:fldChar w:fldCharType="begin"/>
        </w:r>
        <w:r w:rsidR="0026102E">
          <w:rPr>
            <w:noProof/>
            <w:webHidden/>
          </w:rPr>
          <w:instrText xml:space="preserve"> PAGEREF _Toc509576821 \h </w:instrText>
        </w:r>
        <w:r w:rsidR="0026102E">
          <w:rPr>
            <w:noProof/>
            <w:webHidden/>
          </w:rPr>
        </w:r>
        <w:r w:rsidR="0026102E">
          <w:rPr>
            <w:noProof/>
            <w:webHidden/>
          </w:rPr>
          <w:fldChar w:fldCharType="separate"/>
        </w:r>
        <w:r w:rsidR="0026102E">
          <w:rPr>
            <w:noProof/>
            <w:webHidden/>
          </w:rPr>
          <w:t>29</w:t>
        </w:r>
        <w:r w:rsidR="0026102E">
          <w:rPr>
            <w:noProof/>
            <w:webHidden/>
          </w:rPr>
          <w:fldChar w:fldCharType="end"/>
        </w:r>
      </w:hyperlink>
    </w:p>
    <w:p w14:paraId="2D12424D" w14:textId="7B6DA477"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22" w:history="1">
        <w:r w:rsidR="0026102E" w:rsidRPr="001A74E6">
          <w:rPr>
            <w:rStyle w:val="Hyperlink"/>
            <w:noProof/>
          </w:rPr>
          <w:t>Figure 5.6: CPP and Matched Control Group Load Profiles – Winter</w:t>
        </w:r>
        <w:r w:rsidR="0026102E">
          <w:rPr>
            <w:noProof/>
            <w:webHidden/>
          </w:rPr>
          <w:tab/>
        </w:r>
        <w:r w:rsidR="0026102E">
          <w:rPr>
            <w:noProof/>
            <w:webHidden/>
          </w:rPr>
          <w:fldChar w:fldCharType="begin"/>
        </w:r>
        <w:r w:rsidR="0026102E">
          <w:rPr>
            <w:noProof/>
            <w:webHidden/>
          </w:rPr>
          <w:instrText xml:space="preserve"> PAGEREF _Toc509576822 \h </w:instrText>
        </w:r>
        <w:r w:rsidR="0026102E">
          <w:rPr>
            <w:noProof/>
            <w:webHidden/>
          </w:rPr>
        </w:r>
        <w:r w:rsidR="0026102E">
          <w:rPr>
            <w:noProof/>
            <w:webHidden/>
          </w:rPr>
          <w:fldChar w:fldCharType="separate"/>
        </w:r>
        <w:r w:rsidR="0026102E">
          <w:rPr>
            <w:noProof/>
            <w:webHidden/>
          </w:rPr>
          <w:t>30</w:t>
        </w:r>
        <w:r w:rsidR="0026102E">
          <w:rPr>
            <w:noProof/>
            <w:webHidden/>
          </w:rPr>
          <w:fldChar w:fldCharType="end"/>
        </w:r>
      </w:hyperlink>
    </w:p>
    <w:p w14:paraId="3086593E" w14:textId="4A475D77"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23" w:history="1">
        <w:r w:rsidR="0026102E" w:rsidRPr="001A74E6">
          <w:rPr>
            <w:rStyle w:val="Hyperlink"/>
            <w:noProof/>
          </w:rPr>
          <w:t>Figure 5.7: Aggregate Hourly Loads and TOU Load Impacts (MWh/h) – CPP Customers (Average Weekday, August 2017)</w:t>
        </w:r>
        <w:r w:rsidR="0026102E">
          <w:rPr>
            <w:noProof/>
            <w:webHidden/>
          </w:rPr>
          <w:tab/>
        </w:r>
        <w:r w:rsidR="0026102E">
          <w:rPr>
            <w:noProof/>
            <w:webHidden/>
          </w:rPr>
          <w:fldChar w:fldCharType="begin"/>
        </w:r>
        <w:r w:rsidR="0026102E">
          <w:rPr>
            <w:noProof/>
            <w:webHidden/>
          </w:rPr>
          <w:instrText xml:space="preserve"> PAGEREF _Toc509576823 \h </w:instrText>
        </w:r>
        <w:r w:rsidR="0026102E">
          <w:rPr>
            <w:noProof/>
            <w:webHidden/>
          </w:rPr>
        </w:r>
        <w:r w:rsidR="0026102E">
          <w:rPr>
            <w:noProof/>
            <w:webHidden/>
          </w:rPr>
          <w:fldChar w:fldCharType="separate"/>
        </w:r>
        <w:r w:rsidR="0026102E">
          <w:rPr>
            <w:noProof/>
            <w:webHidden/>
          </w:rPr>
          <w:t>33</w:t>
        </w:r>
        <w:r w:rsidR="0026102E">
          <w:rPr>
            <w:noProof/>
            <w:webHidden/>
          </w:rPr>
          <w:fldChar w:fldCharType="end"/>
        </w:r>
      </w:hyperlink>
    </w:p>
    <w:p w14:paraId="2D1A6E20" w14:textId="4653A796"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24" w:history="1">
        <w:r w:rsidR="0026102E" w:rsidRPr="001A74E6">
          <w:rPr>
            <w:rStyle w:val="Hyperlink"/>
            <w:noProof/>
          </w:rPr>
          <w:t>Figure 5.8: Aggregate Hourly Loads and TOU Load Impacts (MWh/h) – CPP Customers (Average Weekday, January 2017)</w:t>
        </w:r>
        <w:r w:rsidR="0026102E">
          <w:rPr>
            <w:noProof/>
            <w:webHidden/>
          </w:rPr>
          <w:tab/>
        </w:r>
        <w:r w:rsidR="0026102E">
          <w:rPr>
            <w:noProof/>
            <w:webHidden/>
          </w:rPr>
          <w:fldChar w:fldCharType="begin"/>
        </w:r>
        <w:r w:rsidR="0026102E">
          <w:rPr>
            <w:noProof/>
            <w:webHidden/>
          </w:rPr>
          <w:instrText xml:space="preserve"> PAGEREF _Toc509576824 \h </w:instrText>
        </w:r>
        <w:r w:rsidR="0026102E">
          <w:rPr>
            <w:noProof/>
            <w:webHidden/>
          </w:rPr>
        </w:r>
        <w:r w:rsidR="0026102E">
          <w:rPr>
            <w:noProof/>
            <w:webHidden/>
          </w:rPr>
          <w:fldChar w:fldCharType="separate"/>
        </w:r>
        <w:r w:rsidR="0026102E">
          <w:rPr>
            <w:noProof/>
            <w:webHidden/>
          </w:rPr>
          <w:t>33</w:t>
        </w:r>
        <w:r w:rsidR="0026102E">
          <w:rPr>
            <w:noProof/>
            <w:webHidden/>
          </w:rPr>
          <w:fldChar w:fldCharType="end"/>
        </w:r>
      </w:hyperlink>
    </w:p>
    <w:p w14:paraId="69FF89DB" w14:textId="6A651640"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25" w:history="1">
        <w:r w:rsidR="0026102E" w:rsidRPr="001A74E6">
          <w:rPr>
            <w:rStyle w:val="Hyperlink"/>
            <w:noProof/>
          </w:rPr>
          <w:t>Figure 6.1: Enrollments in TOU and CPP Rates</w:t>
        </w:r>
        <w:r w:rsidR="0026102E">
          <w:rPr>
            <w:noProof/>
            <w:webHidden/>
          </w:rPr>
          <w:tab/>
        </w:r>
        <w:r w:rsidR="0026102E">
          <w:rPr>
            <w:noProof/>
            <w:webHidden/>
          </w:rPr>
          <w:fldChar w:fldCharType="begin"/>
        </w:r>
        <w:r w:rsidR="0026102E">
          <w:rPr>
            <w:noProof/>
            <w:webHidden/>
          </w:rPr>
          <w:instrText xml:space="preserve"> PAGEREF _Toc509576825 \h </w:instrText>
        </w:r>
        <w:r w:rsidR="0026102E">
          <w:rPr>
            <w:noProof/>
            <w:webHidden/>
          </w:rPr>
        </w:r>
        <w:r w:rsidR="0026102E">
          <w:rPr>
            <w:noProof/>
            <w:webHidden/>
          </w:rPr>
          <w:fldChar w:fldCharType="separate"/>
        </w:r>
        <w:r w:rsidR="0026102E">
          <w:rPr>
            <w:noProof/>
            <w:webHidden/>
          </w:rPr>
          <w:t>37</w:t>
        </w:r>
        <w:r w:rsidR="0026102E">
          <w:rPr>
            <w:noProof/>
            <w:webHidden/>
          </w:rPr>
          <w:fldChar w:fldCharType="end"/>
        </w:r>
      </w:hyperlink>
    </w:p>
    <w:p w14:paraId="0B58744C" w14:textId="254262DF"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26" w:history="1">
        <w:r w:rsidR="0026102E" w:rsidRPr="001A74E6">
          <w:rPr>
            <w:rStyle w:val="Hyperlink"/>
            <w:noProof/>
          </w:rPr>
          <w:t>Figure 6.2: Aggregate Hourly Loads and CPP Load Impacts (MWh/h) –  (August 2019 SDG&amp;E 1-in-2 Peak Day)</w:t>
        </w:r>
        <w:r w:rsidR="0026102E">
          <w:rPr>
            <w:noProof/>
            <w:webHidden/>
          </w:rPr>
          <w:tab/>
        </w:r>
        <w:r w:rsidR="0026102E">
          <w:rPr>
            <w:noProof/>
            <w:webHidden/>
          </w:rPr>
          <w:fldChar w:fldCharType="begin"/>
        </w:r>
        <w:r w:rsidR="0026102E">
          <w:rPr>
            <w:noProof/>
            <w:webHidden/>
          </w:rPr>
          <w:instrText xml:space="preserve"> PAGEREF _Toc509576826 \h </w:instrText>
        </w:r>
        <w:r w:rsidR="0026102E">
          <w:rPr>
            <w:noProof/>
            <w:webHidden/>
          </w:rPr>
        </w:r>
        <w:r w:rsidR="0026102E">
          <w:rPr>
            <w:noProof/>
            <w:webHidden/>
          </w:rPr>
          <w:fldChar w:fldCharType="separate"/>
        </w:r>
        <w:r w:rsidR="0026102E">
          <w:rPr>
            <w:noProof/>
            <w:webHidden/>
          </w:rPr>
          <w:t>38</w:t>
        </w:r>
        <w:r w:rsidR="0026102E">
          <w:rPr>
            <w:noProof/>
            <w:webHidden/>
          </w:rPr>
          <w:fldChar w:fldCharType="end"/>
        </w:r>
      </w:hyperlink>
    </w:p>
    <w:p w14:paraId="5B724400" w14:textId="451F283D"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27" w:history="1">
        <w:r w:rsidR="0026102E" w:rsidRPr="001A74E6">
          <w:rPr>
            <w:rStyle w:val="Hyperlink"/>
            <w:noProof/>
          </w:rPr>
          <w:t>Figure 6.3: Aggregate CPP Load Impacts (MWh/h), by Month –  (2019 SDG&amp;E 1-in-2 Peak Day, RA Window)</w:t>
        </w:r>
        <w:r w:rsidR="0026102E">
          <w:rPr>
            <w:noProof/>
            <w:webHidden/>
          </w:rPr>
          <w:tab/>
        </w:r>
        <w:r w:rsidR="0026102E">
          <w:rPr>
            <w:noProof/>
            <w:webHidden/>
          </w:rPr>
          <w:fldChar w:fldCharType="begin"/>
        </w:r>
        <w:r w:rsidR="0026102E">
          <w:rPr>
            <w:noProof/>
            <w:webHidden/>
          </w:rPr>
          <w:instrText xml:space="preserve"> PAGEREF _Toc509576827 \h </w:instrText>
        </w:r>
        <w:r w:rsidR="0026102E">
          <w:rPr>
            <w:noProof/>
            <w:webHidden/>
          </w:rPr>
        </w:r>
        <w:r w:rsidR="0026102E">
          <w:rPr>
            <w:noProof/>
            <w:webHidden/>
          </w:rPr>
          <w:fldChar w:fldCharType="separate"/>
        </w:r>
        <w:r w:rsidR="0026102E">
          <w:rPr>
            <w:noProof/>
            <w:webHidden/>
          </w:rPr>
          <w:t>39</w:t>
        </w:r>
        <w:r w:rsidR="0026102E">
          <w:rPr>
            <w:noProof/>
            <w:webHidden/>
          </w:rPr>
          <w:fldChar w:fldCharType="end"/>
        </w:r>
      </w:hyperlink>
    </w:p>
    <w:p w14:paraId="49A79D46" w14:textId="368F2F55"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28" w:history="1">
        <w:r w:rsidR="0026102E" w:rsidRPr="001A74E6">
          <w:rPr>
            <w:rStyle w:val="Hyperlink"/>
            <w:noProof/>
          </w:rPr>
          <w:t>Figure 6.4: Aggregate CPP Load Impacts (MWh/h), by Year and Weather Scenario – (August Peak Day, RA Window)</w:t>
        </w:r>
        <w:r w:rsidR="0026102E">
          <w:rPr>
            <w:noProof/>
            <w:webHidden/>
          </w:rPr>
          <w:tab/>
        </w:r>
        <w:r w:rsidR="0026102E">
          <w:rPr>
            <w:noProof/>
            <w:webHidden/>
          </w:rPr>
          <w:fldChar w:fldCharType="begin"/>
        </w:r>
        <w:r w:rsidR="0026102E">
          <w:rPr>
            <w:noProof/>
            <w:webHidden/>
          </w:rPr>
          <w:instrText xml:space="preserve"> PAGEREF _Toc509576828 \h </w:instrText>
        </w:r>
        <w:r w:rsidR="0026102E">
          <w:rPr>
            <w:noProof/>
            <w:webHidden/>
          </w:rPr>
        </w:r>
        <w:r w:rsidR="0026102E">
          <w:rPr>
            <w:noProof/>
            <w:webHidden/>
          </w:rPr>
          <w:fldChar w:fldCharType="separate"/>
        </w:r>
        <w:r w:rsidR="0026102E">
          <w:rPr>
            <w:noProof/>
            <w:webHidden/>
          </w:rPr>
          <w:t>40</w:t>
        </w:r>
        <w:r w:rsidR="0026102E">
          <w:rPr>
            <w:noProof/>
            <w:webHidden/>
          </w:rPr>
          <w:fldChar w:fldCharType="end"/>
        </w:r>
      </w:hyperlink>
    </w:p>
    <w:p w14:paraId="3E496823" w14:textId="1B1D531B"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29" w:history="1">
        <w:r w:rsidR="0026102E" w:rsidRPr="001A74E6">
          <w:rPr>
            <w:rStyle w:val="Hyperlink"/>
            <w:noProof/>
          </w:rPr>
          <w:t>Figure 6.5: Aggregate Hourly Loads and TOU Load Impacts (MWh/h) – TOU-DR and TOU-DR-P Customers, (August 2019 SDG&amp;E 1-in-2 Peak Day)</w:t>
        </w:r>
        <w:r w:rsidR="0026102E">
          <w:rPr>
            <w:noProof/>
            <w:webHidden/>
          </w:rPr>
          <w:tab/>
        </w:r>
        <w:r w:rsidR="0026102E">
          <w:rPr>
            <w:noProof/>
            <w:webHidden/>
          </w:rPr>
          <w:fldChar w:fldCharType="begin"/>
        </w:r>
        <w:r w:rsidR="0026102E">
          <w:rPr>
            <w:noProof/>
            <w:webHidden/>
          </w:rPr>
          <w:instrText xml:space="preserve"> PAGEREF _Toc509576829 \h </w:instrText>
        </w:r>
        <w:r w:rsidR="0026102E">
          <w:rPr>
            <w:noProof/>
            <w:webHidden/>
          </w:rPr>
        </w:r>
        <w:r w:rsidR="0026102E">
          <w:rPr>
            <w:noProof/>
            <w:webHidden/>
          </w:rPr>
          <w:fldChar w:fldCharType="separate"/>
        </w:r>
        <w:r w:rsidR="0026102E">
          <w:rPr>
            <w:noProof/>
            <w:webHidden/>
          </w:rPr>
          <w:t>41</w:t>
        </w:r>
        <w:r w:rsidR="0026102E">
          <w:rPr>
            <w:noProof/>
            <w:webHidden/>
          </w:rPr>
          <w:fldChar w:fldCharType="end"/>
        </w:r>
      </w:hyperlink>
    </w:p>
    <w:p w14:paraId="212CDB29" w14:textId="60709F56"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30" w:history="1">
        <w:r w:rsidR="0026102E" w:rsidRPr="001A74E6">
          <w:rPr>
            <w:rStyle w:val="Hyperlink"/>
            <w:noProof/>
          </w:rPr>
          <w:t>Figure 6.6: Aggregate TOU Load Impacts (MWh/h) by Month – TOU-DR and TOU-DR-P Customers, (2019 SDG&amp;E 1-in-2 Average Weekday, RA Window)</w:t>
        </w:r>
        <w:r w:rsidR="0026102E">
          <w:rPr>
            <w:noProof/>
            <w:webHidden/>
          </w:rPr>
          <w:tab/>
        </w:r>
        <w:r w:rsidR="0026102E">
          <w:rPr>
            <w:noProof/>
            <w:webHidden/>
          </w:rPr>
          <w:fldChar w:fldCharType="begin"/>
        </w:r>
        <w:r w:rsidR="0026102E">
          <w:rPr>
            <w:noProof/>
            <w:webHidden/>
          </w:rPr>
          <w:instrText xml:space="preserve"> PAGEREF _Toc509576830 \h </w:instrText>
        </w:r>
        <w:r w:rsidR="0026102E">
          <w:rPr>
            <w:noProof/>
            <w:webHidden/>
          </w:rPr>
        </w:r>
        <w:r w:rsidR="0026102E">
          <w:rPr>
            <w:noProof/>
            <w:webHidden/>
          </w:rPr>
          <w:fldChar w:fldCharType="separate"/>
        </w:r>
        <w:r w:rsidR="0026102E">
          <w:rPr>
            <w:noProof/>
            <w:webHidden/>
          </w:rPr>
          <w:t>42</w:t>
        </w:r>
        <w:r w:rsidR="0026102E">
          <w:rPr>
            <w:noProof/>
            <w:webHidden/>
          </w:rPr>
          <w:fldChar w:fldCharType="end"/>
        </w:r>
      </w:hyperlink>
    </w:p>
    <w:p w14:paraId="50E08292" w14:textId="28D2D275" w:rsidR="0026102E" w:rsidRDefault="002C1FA8">
      <w:pPr>
        <w:pStyle w:val="TableofFigures"/>
        <w:tabs>
          <w:tab w:val="right" w:leader="dot" w:pos="8630"/>
        </w:tabs>
        <w:rPr>
          <w:rFonts w:asciiTheme="minorHAnsi" w:eastAsiaTheme="minorEastAsia" w:hAnsiTheme="minorHAnsi" w:cstheme="minorBidi"/>
          <w:noProof/>
          <w:sz w:val="22"/>
          <w:szCs w:val="22"/>
        </w:rPr>
      </w:pPr>
      <w:hyperlink w:anchor="_Toc509576831" w:history="1">
        <w:r w:rsidR="0026102E" w:rsidRPr="001A74E6">
          <w:rPr>
            <w:rStyle w:val="Hyperlink"/>
            <w:noProof/>
          </w:rPr>
          <w:t>Figure 6.7: Aggregate TOU Load Impacts (MWh/h) – TOU-DR and TOU-DR-P Customers, by Year and Weather Scenario (Average August Weekday, RA Window)</w:t>
        </w:r>
        <w:r w:rsidR="0026102E">
          <w:rPr>
            <w:noProof/>
            <w:webHidden/>
          </w:rPr>
          <w:tab/>
        </w:r>
        <w:r w:rsidR="0026102E">
          <w:rPr>
            <w:noProof/>
            <w:webHidden/>
          </w:rPr>
          <w:fldChar w:fldCharType="begin"/>
        </w:r>
        <w:r w:rsidR="0026102E">
          <w:rPr>
            <w:noProof/>
            <w:webHidden/>
          </w:rPr>
          <w:instrText xml:space="preserve"> PAGEREF _Toc509576831 \h </w:instrText>
        </w:r>
        <w:r w:rsidR="0026102E">
          <w:rPr>
            <w:noProof/>
            <w:webHidden/>
          </w:rPr>
        </w:r>
        <w:r w:rsidR="0026102E">
          <w:rPr>
            <w:noProof/>
            <w:webHidden/>
          </w:rPr>
          <w:fldChar w:fldCharType="separate"/>
        </w:r>
        <w:r w:rsidR="0026102E">
          <w:rPr>
            <w:noProof/>
            <w:webHidden/>
          </w:rPr>
          <w:t>43</w:t>
        </w:r>
        <w:r w:rsidR="0026102E">
          <w:rPr>
            <w:noProof/>
            <w:webHidden/>
          </w:rPr>
          <w:fldChar w:fldCharType="end"/>
        </w:r>
      </w:hyperlink>
    </w:p>
    <w:p w14:paraId="4D2BC7DC" w14:textId="6C366B95" w:rsidR="009B66F6" w:rsidRDefault="008C53F9" w:rsidP="00095AB1">
      <w:pPr>
        <w:spacing w:afterLines="60" w:after="144" w:line="360" w:lineRule="auto"/>
        <w:ind w:left="1181" w:right="720" w:hanging="1181"/>
        <w:jc w:val="center"/>
        <w:rPr>
          <w:b/>
          <w:sz w:val="28"/>
          <w:szCs w:val="28"/>
        </w:rPr>
        <w:sectPr w:rsidR="009B66F6" w:rsidSect="009B66F6">
          <w:footerReference w:type="default" r:id="rId13"/>
          <w:type w:val="continuous"/>
          <w:pgSz w:w="12240" w:h="15840"/>
          <w:pgMar w:top="1440" w:right="1800" w:bottom="1440" w:left="1800" w:header="720" w:footer="720" w:gutter="0"/>
          <w:pgNumType w:fmt="lowerRoman"/>
          <w:cols w:space="720"/>
          <w:docGrid w:linePitch="360"/>
        </w:sectPr>
      </w:pPr>
      <w:r w:rsidRPr="009A1C27">
        <w:rPr>
          <w:b/>
          <w:bCs/>
          <w:noProof/>
          <w:sz w:val="22"/>
          <w:szCs w:val="22"/>
        </w:rPr>
        <w:fldChar w:fldCharType="end"/>
      </w:r>
    </w:p>
    <w:p w14:paraId="16CF0EDD" w14:textId="77777777" w:rsidR="00701C8B" w:rsidRDefault="00701C8B">
      <w:pPr>
        <w:rPr>
          <w:rFonts w:ascii="Arial" w:hAnsi="Arial" w:cs="Arial"/>
          <w:b/>
          <w:bCs/>
          <w:kern w:val="32"/>
          <w:sz w:val="32"/>
          <w:szCs w:val="32"/>
        </w:rPr>
      </w:pPr>
      <w:r>
        <w:rPr>
          <w:rFonts w:ascii="Arial" w:hAnsi="Arial" w:cs="Arial"/>
          <w:b/>
          <w:bCs/>
          <w:kern w:val="32"/>
          <w:sz w:val="32"/>
          <w:szCs w:val="32"/>
        </w:rPr>
        <w:br w:type="page"/>
      </w:r>
    </w:p>
    <w:p w14:paraId="6896928F" w14:textId="1EB24546" w:rsidR="00321E09" w:rsidRDefault="00321E09" w:rsidP="00095AB1">
      <w:pPr>
        <w:pStyle w:val="Heading1"/>
        <w:spacing w:after="120"/>
      </w:pPr>
      <w:bookmarkStart w:id="1" w:name="_Toc509576733"/>
      <w:r w:rsidRPr="00182142">
        <w:lastRenderedPageBreak/>
        <w:t>Executive Summary</w:t>
      </w:r>
      <w:bookmarkEnd w:id="1"/>
      <w:r w:rsidRPr="00A4025E">
        <w:t xml:space="preserve"> </w:t>
      </w:r>
    </w:p>
    <w:p w14:paraId="2AC8D92E" w14:textId="0C9C4214" w:rsidR="00E33213" w:rsidRPr="00465203" w:rsidRDefault="00465203" w:rsidP="00095AB1">
      <w:pPr>
        <w:spacing w:after="120"/>
        <w:rPr>
          <w:rFonts w:asciiTheme="minorHAnsi" w:hAnsiTheme="minorHAnsi"/>
        </w:rPr>
      </w:pPr>
      <w:r>
        <w:t xml:space="preserve">This report documents </w:t>
      </w:r>
      <w:r w:rsidRPr="00F43309">
        <w:rPr>
          <w:i/>
        </w:rPr>
        <w:t>ex-post</w:t>
      </w:r>
      <w:r>
        <w:t xml:space="preserve"> and </w:t>
      </w:r>
      <w:r w:rsidRPr="00F43309">
        <w:rPr>
          <w:i/>
        </w:rPr>
        <w:t>ex-ante</w:t>
      </w:r>
      <w:r>
        <w:t xml:space="preserve"> load impact evaluations for San Diego Gas and Electric Company’s (“SDG&amp;E”)</w:t>
      </w:r>
      <w:r w:rsidR="0028484B">
        <w:t xml:space="preserve"> voluntary</w:t>
      </w:r>
      <w:r>
        <w:t xml:space="preserve"> </w:t>
      </w:r>
      <w:r w:rsidR="0052501C">
        <w:t>residential time</w:t>
      </w:r>
      <w:r w:rsidR="00FC21B8">
        <w:t>-</w:t>
      </w:r>
      <w:r w:rsidR="0052501C">
        <w:t>of</w:t>
      </w:r>
      <w:r w:rsidR="00FC21B8">
        <w:t>-</w:t>
      </w:r>
      <w:r w:rsidR="0052501C">
        <w:t>use (TOU) and</w:t>
      </w:r>
      <w:r>
        <w:t xml:space="preserve"> critical p</w:t>
      </w:r>
      <w:r w:rsidR="00EF18D5">
        <w:t>eak pricing (CPP) rates for 2017</w:t>
      </w:r>
      <w:r>
        <w:t xml:space="preserve">. The two rates, referred to collectively as residential smart pricing project (SPP) rates, are TOU-DR (a traditional non-event TOU rate) and TOU-DR-P (a TOU rate with an event-based CPP component). Both the TOU and </w:t>
      </w:r>
      <w:r w:rsidR="005E5D58">
        <w:t>CPP</w:t>
      </w:r>
      <w:r>
        <w:t xml:space="preserve"> rates are voluntary rates that became active in February 2015.</w:t>
      </w:r>
    </w:p>
    <w:p w14:paraId="1D32C3D6" w14:textId="5C3B5480" w:rsidR="00E33213" w:rsidRDefault="00E33213" w:rsidP="00095AB1">
      <w:pPr>
        <w:pStyle w:val="Heading2"/>
        <w:spacing w:after="120"/>
      </w:pPr>
      <w:bookmarkStart w:id="2" w:name="_Toc206570216"/>
      <w:bookmarkStart w:id="3" w:name="_Toc257708579"/>
      <w:bookmarkStart w:id="4" w:name="_Toc289180053"/>
      <w:bookmarkStart w:id="5" w:name="_Toc326224610"/>
      <w:bookmarkStart w:id="6" w:name="_Toc352235825"/>
      <w:bookmarkStart w:id="7" w:name="_Toc383774910"/>
      <w:bookmarkStart w:id="8" w:name="_Toc413586704"/>
      <w:bookmarkStart w:id="9" w:name="_Toc509576734"/>
      <w:r>
        <w:t xml:space="preserve">ES.1 </w:t>
      </w:r>
      <w:bookmarkEnd w:id="2"/>
      <w:r w:rsidR="00DA3506">
        <w:t>Resources C</w:t>
      </w:r>
      <w:r>
        <w:t>overed</w:t>
      </w:r>
      <w:bookmarkEnd w:id="3"/>
      <w:bookmarkEnd w:id="4"/>
      <w:bookmarkEnd w:id="5"/>
      <w:bookmarkEnd w:id="6"/>
      <w:bookmarkEnd w:id="7"/>
      <w:bookmarkEnd w:id="8"/>
      <w:bookmarkEnd w:id="9"/>
    </w:p>
    <w:p w14:paraId="29B92813" w14:textId="122D3A3C" w:rsidR="00465203" w:rsidRDefault="00465203" w:rsidP="00095AB1">
      <w:pPr>
        <w:spacing w:after="120"/>
        <w:rPr>
          <w:rFonts w:asciiTheme="minorHAnsi" w:hAnsiTheme="minorHAnsi"/>
        </w:rPr>
      </w:pPr>
      <w:bookmarkStart w:id="10" w:name="_Toc206570215"/>
      <w:bookmarkStart w:id="11" w:name="_Toc257708583"/>
      <w:bookmarkStart w:id="12" w:name="_Toc289180057"/>
      <w:bookmarkStart w:id="13" w:name="_Toc326224614"/>
      <w:bookmarkStart w:id="14" w:name="_Toc352235829"/>
      <w:bookmarkStart w:id="15" w:name="_Toc383774914"/>
      <w:bookmarkStart w:id="16" w:name="_Toc413586708"/>
      <w:r>
        <w:rPr>
          <w:rFonts w:asciiTheme="minorHAnsi" w:hAnsiTheme="minorHAnsi"/>
        </w:rPr>
        <w:t>T</w:t>
      </w:r>
      <w:r>
        <w:t xml:space="preserve">he summer TOU periods in the two rates are centered around an on-peak period of 11 a.m. to 6 p.m. on non-holiday weekdays, which is surrounded by morning and evening semi-peak periods, and an overnight off-peak period. On </w:t>
      </w:r>
      <w:r w:rsidR="00F23CC4">
        <w:t>winter</w:t>
      </w:r>
      <w:r>
        <w:t xml:space="preserve"> weekdays, the on-peak period is 5 p.m. to 8 p.m., with semi-peak periods in the morning, afternoon and evening hours, and an overnight off-peak period. Weekend and holiday hours are all off-peak.</w:t>
      </w:r>
      <w:r w:rsidR="00871C73" w:rsidRPr="00871C73">
        <w:t xml:space="preserve"> </w:t>
      </w:r>
      <w:r w:rsidR="00871C73">
        <w:t xml:space="preserve">CPP </w:t>
      </w:r>
      <w:r w:rsidR="00CF5689">
        <w:t>events</w:t>
      </w:r>
      <w:r w:rsidR="00871C73">
        <w:t xml:space="preserve"> may be called during the 11 a.m. to 6 p.m. period on any day (including weekends) throughout the year, whenever a Reduce Your Use (RYU) event is called.</w:t>
      </w:r>
      <w:r w:rsidR="00676A30">
        <w:t xml:space="preserve"> In 2017, SDG&amp;E called three CPP events, August 31</w:t>
      </w:r>
      <w:r w:rsidR="00676A30" w:rsidRPr="00237521">
        <w:rPr>
          <w:vertAlign w:val="superscript"/>
        </w:rPr>
        <w:t>st</w:t>
      </w:r>
      <w:r w:rsidR="00676A30">
        <w:t>, September 1</w:t>
      </w:r>
      <w:r w:rsidR="00676A30" w:rsidRPr="00237521">
        <w:rPr>
          <w:vertAlign w:val="superscript"/>
        </w:rPr>
        <w:t>st</w:t>
      </w:r>
      <w:r w:rsidR="00676A30">
        <w:t>, and September 2</w:t>
      </w:r>
      <w:r w:rsidR="00676A30" w:rsidRPr="00237521">
        <w:rPr>
          <w:vertAlign w:val="superscript"/>
        </w:rPr>
        <w:t>nd</w:t>
      </w:r>
      <w:r w:rsidR="00676A30">
        <w:t>, which was a weekend event.</w:t>
      </w:r>
    </w:p>
    <w:p w14:paraId="09E46F03" w14:textId="77777777" w:rsidR="00F048D1" w:rsidRPr="00153D58" w:rsidRDefault="00F048D1" w:rsidP="00F048D1">
      <w:pPr>
        <w:pStyle w:val="BodyText"/>
      </w:pPr>
      <w:r>
        <w:t xml:space="preserve">In the future, the on-peak periods will be different. Specifically, SDG&amp;E has made changes, effective Dec 1, 2017, in the hours of the pricing periods of its TOU rates, which now have an on-peak period of 4 p.m. to 9 p.m., beginning and ending later than the rates evaluated in this PY2017 study. These rate changes have arisen from recent changes in the patterns of the utility’s and the state’s system load profiles due to increases in solar generation (both central station and rooftop photovoltaics). These increases in solar tend to delay peak demands for purchased power to later in the day than the previous norm, as solar production falls in the evening hours. </w:t>
      </w:r>
    </w:p>
    <w:p w14:paraId="0444C01F" w14:textId="320AA0E0" w:rsidR="00E33213" w:rsidRDefault="00E33213" w:rsidP="00095AB1">
      <w:pPr>
        <w:pStyle w:val="Heading2"/>
        <w:spacing w:after="120"/>
      </w:pPr>
      <w:bookmarkStart w:id="17" w:name="_Toc509576735"/>
      <w:r>
        <w:t>ES.2 Evaluation Methodolog</w:t>
      </w:r>
      <w:r w:rsidR="000F0BD6">
        <w:t>ies</w:t>
      </w:r>
      <w:bookmarkEnd w:id="10"/>
      <w:bookmarkEnd w:id="11"/>
      <w:bookmarkEnd w:id="12"/>
      <w:bookmarkEnd w:id="13"/>
      <w:bookmarkEnd w:id="14"/>
      <w:bookmarkEnd w:id="15"/>
      <w:bookmarkEnd w:id="16"/>
      <w:bookmarkEnd w:id="17"/>
    </w:p>
    <w:p w14:paraId="53D65688" w14:textId="27E614E1" w:rsidR="00465203" w:rsidRDefault="00871C73" w:rsidP="00095AB1">
      <w:pPr>
        <w:spacing w:after="120"/>
      </w:pPr>
      <w:bookmarkStart w:id="18" w:name="_Toc206570217"/>
      <w:bookmarkStart w:id="19" w:name="_Toc257708584"/>
      <w:bookmarkStart w:id="20" w:name="_Toc289180058"/>
      <w:bookmarkStart w:id="21" w:name="_Toc326224615"/>
      <w:bookmarkStart w:id="22" w:name="_Toc352235830"/>
      <w:bookmarkStart w:id="23" w:name="_Toc383774915"/>
      <w:bookmarkStart w:id="24" w:name="_Toc413586709"/>
      <w:r>
        <w:t>T</w:t>
      </w:r>
      <w:r w:rsidR="00465203">
        <w:t xml:space="preserve">he </w:t>
      </w:r>
      <w:r w:rsidR="00465203" w:rsidRPr="00F72C7A">
        <w:rPr>
          <w:i/>
        </w:rPr>
        <w:t>ex</w:t>
      </w:r>
      <w:r w:rsidR="004D3C9C">
        <w:rPr>
          <w:i/>
        </w:rPr>
        <w:t>-</w:t>
      </w:r>
      <w:r w:rsidR="00465203" w:rsidRPr="00F72C7A">
        <w:rPr>
          <w:i/>
        </w:rPr>
        <w:t>post</w:t>
      </w:r>
      <w:r w:rsidR="00465203">
        <w:t xml:space="preserve"> impact evaluations for the TOU and </w:t>
      </w:r>
      <w:r w:rsidR="005A701F">
        <w:t>CPP</w:t>
      </w:r>
      <w:r w:rsidR="00465203">
        <w:t xml:space="preserve"> rates </w:t>
      </w:r>
      <w:r w:rsidR="001E0AF8">
        <w:t xml:space="preserve">apply </w:t>
      </w:r>
      <w:r w:rsidR="00465203">
        <w:t xml:space="preserve">difference-in-differences </w:t>
      </w:r>
      <w:r w:rsidR="00EF18D5">
        <w:t xml:space="preserve">analysis </w:t>
      </w:r>
      <w:r w:rsidR="001E0AF8">
        <w:t>methods</w:t>
      </w:r>
      <w:r w:rsidR="00465203">
        <w:t xml:space="preserve"> that </w:t>
      </w:r>
      <w:r w:rsidR="00CF5689">
        <w:t>involve selectin</w:t>
      </w:r>
      <w:r w:rsidR="001E0AF8">
        <w:t>g</w:t>
      </w:r>
      <w:r w:rsidR="00CF5689">
        <w:t xml:space="preserve"> </w:t>
      </w:r>
      <w:r w:rsidR="00CF5689" w:rsidRPr="007371B7">
        <w:rPr>
          <w:szCs w:val="32"/>
        </w:rPr>
        <w:t xml:space="preserve">quasi-experimental matched </w:t>
      </w:r>
      <w:r w:rsidR="00CF5689">
        <w:t xml:space="preserve">control groups and </w:t>
      </w:r>
      <w:r w:rsidR="001E0AF8">
        <w:t xml:space="preserve">then </w:t>
      </w:r>
      <w:r w:rsidR="00465203">
        <w:t>compar</w:t>
      </w:r>
      <w:r w:rsidR="001E0AF8">
        <w:t>ing</w:t>
      </w:r>
      <w:r w:rsidR="00465203">
        <w:t xml:space="preserve"> the usage of treatment and </w:t>
      </w:r>
      <w:r w:rsidR="00CF5689">
        <w:t xml:space="preserve">control group </w:t>
      </w:r>
      <w:r w:rsidR="00465203">
        <w:t xml:space="preserve">customers on relevant days or time periods, </w:t>
      </w:r>
      <w:r w:rsidR="001E0AF8">
        <w:t xml:space="preserve">where the comparisons are then </w:t>
      </w:r>
      <w:r w:rsidR="00465203">
        <w:t>adjusted by usage differences on pre-treatment or non-event days. The control groups were selected by matching each treatment customer to one of a</w:t>
      </w:r>
      <w:r>
        <w:t xml:space="preserve">n initial </w:t>
      </w:r>
      <w:r w:rsidR="00465203">
        <w:t>sample of eligible non-treatment customers in relevant population segments (</w:t>
      </w:r>
      <w:r w:rsidR="00465203">
        <w:rPr>
          <w:i/>
        </w:rPr>
        <w:t>e.g.</w:t>
      </w:r>
      <w:r w:rsidR="00465203">
        <w:t xml:space="preserve">, climate zone, CARE status, and enrollment in </w:t>
      </w:r>
      <w:r w:rsidR="00EF18D5">
        <w:t xml:space="preserve">SDG&amp;E’s Reduce Your Use, or </w:t>
      </w:r>
      <w:r w:rsidR="00465203">
        <w:t>RYU</w:t>
      </w:r>
      <w:r w:rsidR="00EF18D5">
        <w:t>, program</w:t>
      </w:r>
      <w:r w:rsidR="00465203">
        <w:t xml:space="preserve">), based on the closest match of load profiles. </w:t>
      </w:r>
    </w:p>
    <w:p w14:paraId="776E6518" w14:textId="4E6C5636" w:rsidR="00E33213" w:rsidRDefault="00E33213" w:rsidP="00095AB1">
      <w:pPr>
        <w:pStyle w:val="Heading2"/>
        <w:spacing w:after="120"/>
      </w:pPr>
      <w:bookmarkStart w:id="25" w:name="_Toc509576736"/>
      <w:r w:rsidRPr="00237521">
        <w:lastRenderedPageBreak/>
        <w:t xml:space="preserve">ES.3 </w:t>
      </w:r>
      <w:bookmarkEnd w:id="18"/>
      <w:r w:rsidRPr="00237521">
        <w:t>Ex-</w:t>
      </w:r>
      <w:r w:rsidR="00171887" w:rsidRPr="00237521">
        <w:t>P</w:t>
      </w:r>
      <w:r w:rsidRPr="00237521">
        <w:t>ost Load Impacts</w:t>
      </w:r>
      <w:bookmarkEnd w:id="19"/>
      <w:bookmarkEnd w:id="20"/>
      <w:bookmarkEnd w:id="21"/>
      <w:bookmarkEnd w:id="22"/>
      <w:bookmarkEnd w:id="23"/>
      <w:bookmarkEnd w:id="24"/>
      <w:bookmarkEnd w:id="25"/>
    </w:p>
    <w:p w14:paraId="553B773C" w14:textId="550CA6CE" w:rsidR="009B6DB4" w:rsidRDefault="00465203" w:rsidP="00095AB1">
      <w:pPr>
        <w:pStyle w:val="Heading3"/>
        <w:spacing w:after="120"/>
        <w:rPr>
          <w:sz w:val="24"/>
        </w:rPr>
      </w:pPr>
      <w:bookmarkStart w:id="26" w:name="_Toc509576737"/>
      <w:r>
        <w:rPr>
          <w:sz w:val="24"/>
        </w:rPr>
        <w:t>CPP (TOU-DR-P)</w:t>
      </w:r>
      <w:bookmarkEnd w:id="26"/>
    </w:p>
    <w:p w14:paraId="12CA3371" w14:textId="55484131" w:rsidR="00465203" w:rsidRDefault="00465203" w:rsidP="00095AB1">
      <w:pPr>
        <w:spacing w:after="120"/>
      </w:pPr>
      <w:r>
        <w:t xml:space="preserve">Table ES.1 summarizes </w:t>
      </w:r>
      <w:r w:rsidR="00FE06F5">
        <w:t xml:space="preserve">average event-hour </w:t>
      </w:r>
      <w:r>
        <w:t xml:space="preserve">reference load and </w:t>
      </w:r>
      <w:r w:rsidR="00CF5689">
        <w:t xml:space="preserve">CPP </w:t>
      </w:r>
      <w:r>
        <w:t xml:space="preserve">load impact results for </w:t>
      </w:r>
      <w:r w:rsidR="00CF5689">
        <w:t xml:space="preserve">the </w:t>
      </w:r>
      <w:r w:rsidR="005E5D58">
        <w:t>CPP</w:t>
      </w:r>
      <w:r>
        <w:t xml:space="preserve"> customers</w:t>
      </w:r>
      <w:r w:rsidR="00CF5689">
        <w:t xml:space="preserve"> on the</w:t>
      </w:r>
      <w:r w:rsidR="0050472E">
        <w:t xml:space="preserve"> average weekday event</w:t>
      </w:r>
      <w:r w:rsidR="00676A30">
        <w:t xml:space="preserve"> </w:t>
      </w:r>
      <w:r w:rsidR="001E0AF8">
        <w:t>in 201</w:t>
      </w:r>
      <w:r w:rsidR="00C850BD">
        <w:t>7</w:t>
      </w:r>
      <w:r w:rsidR="0050472E">
        <w:t>.</w:t>
      </w:r>
      <w:r w:rsidR="001E0AF8">
        <w:t xml:space="preserve"> Results are shown </w:t>
      </w:r>
      <w:r>
        <w:t xml:space="preserve">by </w:t>
      </w:r>
      <w:r w:rsidR="001E0AF8">
        <w:t xml:space="preserve">Coastal and Inland </w:t>
      </w:r>
      <w:r>
        <w:t>climate zone</w:t>
      </w:r>
      <w:r w:rsidR="001E0AF8">
        <w:t>s</w:t>
      </w:r>
      <w:r>
        <w:t>. The first two columns show the climate zone and numbers of enrolled</w:t>
      </w:r>
      <w:r w:rsidRPr="00E5785C">
        <w:t xml:space="preserve"> </w:t>
      </w:r>
      <w:r>
        <w:t xml:space="preserve">customers. The next two columns show aggregate estimated reference loads and load impacts for the average event hour, in MW. The next two columns show the same variables for the average customer, in units of kW. The last two columns show the load impacts as a percentage of the reference loads, and the average temperature during the event window. </w:t>
      </w:r>
    </w:p>
    <w:p w14:paraId="65FF71F1" w14:textId="5AE5A629" w:rsidR="007F1961" w:rsidRDefault="00465203" w:rsidP="00BF6011">
      <w:pPr>
        <w:pStyle w:val="TableCaption"/>
        <w:keepNext/>
        <w:rPr>
          <w:i/>
        </w:rPr>
      </w:pPr>
      <w:bookmarkStart w:id="27" w:name="_Toc509576784"/>
      <w:r>
        <w:t xml:space="preserve">Table ES.1: Average CPP Event-Hour Load Impacts – </w:t>
      </w:r>
      <w:r w:rsidR="0050472E" w:rsidRPr="0050472E">
        <w:rPr>
          <w:i/>
        </w:rPr>
        <w:t>Average Weekday Event</w:t>
      </w:r>
      <w:bookmarkEnd w:id="27"/>
    </w:p>
    <w:tbl>
      <w:tblPr>
        <w:tblW w:w="7680" w:type="dxa"/>
        <w:jc w:val="center"/>
        <w:tblLook w:val="04A0" w:firstRow="1" w:lastRow="0" w:firstColumn="1" w:lastColumn="0" w:noHBand="0" w:noVBand="1"/>
      </w:tblPr>
      <w:tblGrid>
        <w:gridCol w:w="960"/>
        <w:gridCol w:w="975"/>
        <w:gridCol w:w="1076"/>
        <w:gridCol w:w="1076"/>
        <w:gridCol w:w="989"/>
        <w:gridCol w:w="989"/>
        <w:gridCol w:w="960"/>
        <w:gridCol w:w="960"/>
      </w:tblGrid>
      <w:tr w:rsidR="00BF6011" w:rsidRPr="00BF6011" w14:paraId="52C89B3D" w14:textId="77777777" w:rsidTr="00313EEB">
        <w:trPr>
          <w:trHeight w:val="300"/>
          <w:jc w:val="center"/>
        </w:trPr>
        <w:tc>
          <w:tcPr>
            <w:tcW w:w="960" w:type="dxa"/>
            <w:tcBorders>
              <w:top w:val="single" w:sz="4" w:space="0" w:color="auto"/>
              <w:left w:val="single" w:sz="4" w:space="0" w:color="auto"/>
              <w:bottom w:val="nil"/>
              <w:right w:val="nil"/>
            </w:tcBorders>
            <w:shd w:val="clear" w:color="000000" w:fill="132577"/>
            <w:noWrap/>
            <w:vAlign w:val="center"/>
            <w:hideMark/>
          </w:tcPr>
          <w:p w14:paraId="24D6EC04" w14:textId="77777777" w:rsidR="00BF6011" w:rsidRPr="00BF6011" w:rsidRDefault="00BF6011" w:rsidP="00BF6011">
            <w:pPr>
              <w:rPr>
                <w:rFonts w:cs="Calibri"/>
                <w:color w:val="FFFFFF"/>
                <w:sz w:val="22"/>
                <w:szCs w:val="22"/>
              </w:rPr>
            </w:pPr>
            <w:r w:rsidRPr="00BF6011">
              <w:rPr>
                <w:rFonts w:cs="Calibri"/>
                <w:color w:val="FFFFFF"/>
                <w:sz w:val="22"/>
                <w:szCs w:val="22"/>
              </w:rPr>
              <w:t> </w:t>
            </w:r>
          </w:p>
        </w:tc>
        <w:tc>
          <w:tcPr>
            <w:tcW w:w="960" w:type="dxa"/>
            <w:tcBorders>
              <w:top w:val="single" w:sz="4" w:space="0" w:color="auto"/>
              <w:left w:val="single" w:sz="4" w:space="0" w:color="FFFFFF"/>
              <w:bottom w:val="nil"/>
              <w:right w:val="nil"/>
            </w:tcBorders>
            <w:shd w:val="clear" w:color="000000" w:fill="132577"/>
            <w:noWrap/>
            <w:vAlign w:val="center"/>
            <w:hideMark/>
          </w:tcPr>
          <w:p w14:paraId="64291524" w14:textId="77777777" w:rsidR="00BF6011" w:rsidRPr="00BF6011" w:rsidRDefault="00BF6011" w:rsidP="00BF6011">
            <w:pPr>
              <w:rPr>
                <w:rFonts w:cs="Calibri"/>
                <w:color w:val="FFFFFF"/>
                <w:sz w:val="22"/>
                <w:szCs w:val="22"/>
              </w:rPr>
            </w:pPr>
            <w:r w:rsidRPr="00BF6011">
              <w:rPr>
                <w:rFonts w:cs="Calibri"/>
                <w:color w:val="FFFFFF"/>
                <w:sz w:val="22"/>
                <w:szCs w:val="22"/>
              </w:rPr>
              <w:t> </w:t>
            </w:r>
          </w:p>
        </w:tc>
        <w:tc>
          <w:tcPr>
            <w:tcW w:w="1920" w:type="dxa"/>
            <w:gridSpan w:val="2"/>
            <w:tcBorders>
              <w:top w:val="single" w:sz="4" w:space="0" w:color="auto"/>
              <w:left w:val="single" w:sz="4" w:space="0" w:color="FFFFFF"/>
              <w:bottom w:val="single" w:sz="4" w:space="0" w:color="FFFFFF"/>
              <w:right w:val="single" w:sz="4" w:space="0" w:color="FFFFFF"/>
            </w:tcBorders>
            <w:shd w:val="clear" w:color="000000" w:fill="132577"/>
            <w:noWrap/>
            <w:vAlign w:val="center"/>
            <w:hideMark/>
          </w:tcPr>
          <w:p w14:paraId="171CEF0E" w14:textId="77777777" w:rsidR="00BF6011" w:rsidRPr="00BF6011" w:rsidRDefault="00BF6011" w:rsidP="00BF6011">
            <w:pPr>
              <w:jc w:val="center"/>
              <w:rPr>
                <w:rFonts w:cs="Calibri"/>
                <w:b/>
                <w:bCs/>
                <w:color w:val="FFFFFF"/>
                <w:sz w:val="22"/>
                <w:szCs w:val="22"/>
              </w:rPr>
            </w:pPr>
            <w:r w:rsidRPr="00BF6011">
              <w:rPr>
                <w:rFonts w:cs="Calibri"/>
                <w:b/>
                <w:bCs/>
                <w:color w:val="FFFFFF"/>
                <w:sz w:val="22"/>
                <w:szCs w:val="22"/>
              </w:rPr>
              <w:t>Aggregate</w:t>
            </w:r>
          </w:p>
        </w:tc>
        <w:tc>
          <w:tcPr>
            <w:tcW w:w="1920" w:type="dxa"/>
            <w:gridSpan w:val="2"/>
            <w:tcBorders>
              <w:top w:val="single" w:sz="4" w:space="0" w:color="auto"/>
              <w:left w:val="nil"/>
              <w:bottom w:val="single" w:sz="4" w:space="0" w:color="FFFFFF"/>
              <w:right w:val="single" w:sz="4" w:space="0" w:color="FFFFFF"/>
            </w:tcBorders>
            <w:shd w:val="clear" w:color="000000" w:fill="132577"/>
            <w:noWrap/>
            <w:vAlign w:val="center"/>
            <w:hideMark/>
          </w:tcPr>
          <w:p w14:paraId="4C0BB1EB" w14:textId="77777777" w:rsidR="00BF6011" w:rsidRPr="00BF6011" w:rsidRDefault="00BF6011" w:rsidP="00BF6011">
            <w:pPr>
              <w:jc w:val="center"/>
              <w:rPr>
                <w:rFonts w:cs="Calibri"/>
                <w:b/>
                <w:bCs/>
                <w:color w:val="FFFFFF"/>
                <w:sz w:val="22"/>
                <w:szCs w:val="22"/>
              </w:rPr>
            </w:pPr>
            <w:r w:rsidRPr="00BF6011">
              <w:rPr>
                <w:rFonts w:cs="Calibri"/>
                <w:b/>
                <w:bCs/>
                <w:color w:val="FFFFFF"/>
                <w:sz w:val="22"/>
                <w:szCs w:val="22"/>
              </w:rPr>
              <w:t>Per-Customer</w:t>
            </w:r>
          </w:p>
        </w:tc>
        <w:tc>
          <w:tcPr>
            <w:tcW w:w="960" w:type="dxa"/>
            <w:tcBorders>
              <w:top w:val="single" w:sz="4" w:space="0" w:color="auto"/>
              <w:left w:val="nil"/>
              <w:bottom w:val="nil"/>
              <w:right w:val="single" w:sz="4" w:space="0" w:color="FFFFFF"/>
            </w:tcBorders>
            <w:shd w:val="clear" w:color="000000" w:fill="132577"/>
            <w:noWrap/>
            <w:vAlign w:val="center"/>
            <w:hideMark/>
          </w:tcPr>
          <w:p w14:paraId="77B5694C" w14:textId="77777777" w:rsidR="00BF6011" w:rsidRPr="00BF6011" w:rsidRDefault="00BF6011" w:rsidP="00BF6011">
            <w:pPr>
              <w:rPr>
                <w:rFonts w:cs="Calibri"/>
                <w:color w:val="FFFFFF"/>
                <w:sz w:val="22"/>
                <w:szCs w:val="22"/>
              </w:rPr>
            </w:pPr>
            <w:r w:rsidRPr="00BF6011">
              <w:rPr>
                <w:rFonts w:cs="Calibri"/>
                <w:color w:val="FFFFFF"/>
                <w:sz w:val="22"/>
                <w:szCs w:val="22"/>
              </w:rPr>
              <w:t> </w:t>
            </w:r>
          </w:p>
        </w:tc>
        <w:tc>
          <w:tcPr>
            <w:tcW w:w="960" w:type="dxa"/>
            <w:tcBorders>
              <w:top w:val="single" w:sz="4" w:space="0" w:color="auto"/>
              <w:left w:val="nil"/>
              <w:bottom w:val="nil"/>
              <w:right w:val="single" w:sz="4" w:space="0" w:color="auto"/>
            </w:tcBorders>
            <w:shd w:val="clear" w:color="000000" w:fill="132577"/>
            <w:noWrap/>
            <w:vAlign w:val="center"/>
            <w:hideMark/>
          </w:tcPr>
          <w:p w14:paraId="05957C27" w14:textId="77777777" w:rsidR="00BF6011" w:rsidRPr="00BF6011" w:rsidRDefault="00BF6011" w:rsidP="00BF6011">
            <w:pPr>
              <w:rPr>
                <w:rFonts w:cs="Calibri"/>
                <w:color w:val="FFFFFF"/>
                <w:sz w:val="22"/>
                <w:szCs w:val="22"/>
              </w:rPr>
            </w:pPr>
            <w:r w:rsidRPr="00BF6011">
              <w:rPr>
                <w:rFonts w:cs="Calibri"/>
                <w:color w:val="FFFFFF"/>
                <w:sz w:val="22"/>
                <w:szCs w:val="22"/>
              </w:rPr>
              <w:t> </w:t>
            </w:r>
          </w:p>
        </w:tc>
      </w:tr>
      <w:tr w:rsidR="00BF6011" w:rsidRPr="00BF6011" w14:paraId="2226E060" w14:textId="77777777" w:rsidTr="0010027E">
        <w:trPr>
          <w:trHeight w:val="1110"/>
          <w:jc w:val="center"/>
        </w:trPr>
        <w:tc>
          <w:tcPr>
            <w:tcW w:w="960" w:type="dxa"/>
            <w:tcBorders>
              <w:top w:val="nil"/>
              <w:left w:val="single" w:sz="4" w:space="0" w:color="auto"/>
              <w:bottom w:val="single" w:sz="4" w:space="0" w:color="auto"/>
              <w:right w:val="nil"/>
            </w:tcBorders>
            <w:shd w:val="clear" w:color="auto" w:fill="0C2577"/>
            <w:vAlign w:val="center"/>
            <w:hideMark/>
          </w:tcPr>
          <w:p w14:paraId="74F86067" w14:textId="77777777" w:rsidR="00BF6011" w:rsidRPr="00BF6011" w:rsidRDefault="00BF6011" w:rsidP="00BF6011">
            <w:pPr>
              <w:jc w:val="center"/>
              <w:rPr>
                <w:rFonts w:cs="Calibri"/>
                <w:b/>
                <w:bCs/>
                <w:color w:val="FFFFFF"/>
                <w:sz w:val="22"/>
                <w:szCs w:val="22"/>
              </w:rPr>
            </w:pPr>
            <w:r w:rsidRPr="00BF6011">
              <w:rPr>
                <w:rFonts w:cs="Calibri"/>
                <w:b/>
                <w:bCs/>
                <w:color w:val="FFFFFF"/>
                <w:sz w:val="22"/>
                <w:szCs w:val="22"/>
              </w:rPr>
              <w:t>Climate Zone</w:t>
            </w:r>
          </w:p>
        </w:tc>
        <w:tc>
          <w:tcPr>
            <w:tcW w:w="960" w:type="dxa"/>
            <w:tcBorders>
              <w:top w:val="nil"/>
              <w:left w:val="single" w:sz="4" w:space="0" w:color="FFFFFF"/>
              <w:bottom w:val="single" w:sz="4" w:space="0" w:color="auto"/>
              <w:right w:val="single" w:sz="4" w:space="0" w:color="FFFFFF"/>
            </w:tcBorders>
            <w:shd w:val="clear" w:color="auto" w:fill="0C2577"/>
            <w:vAlign w:val="center"/>
            <w:hideMark/>
          </w:tcPr>
          <w:p w14:paraId="7797492C" w14:textId="77777777" w:rsidR="00BF6011" w:rsidRPr="00BF6011" w:rsidRDefault="00BF6011" w:rsidP="00BF6011">
            <w:pPr>
              <w:jc w:val="center"/>
              <w:rPr>
                <w:rFonts w:cs="Calibri"/>
                <w:b/>
                <w:bCs/>
                <w:color w:val="FFFFFF"/>
                <w:sz w:val="22"/>
                <w:szCs w:val="22"/>
              </w:rPr>
            </w:pPr>
            <w:r w:rsidRPr="00BF6011">
              <w:rPr>
                <w:rFonts w:cs="Calibri"/>
                <w:b/>
                <w:bCs/>
                <w:color w:val="FFFFFF"/>
                <w:sz w:val="22"/>
                <w:szCs w:val="22"/>
              </w:rPr>
              <w:t>Enrolled</w:t>
            </w:r>
          </w:p>
        </w:tc>
        <w:tc>
          <w:tcPr>
            <w:tcW w:w="960" w:type="dxa"/>
            <w:tcBorders>
              <w:top w:val="nil"/>
              <w:left w:val="nil"/>
              <w:bottom w:val="single" w:sz="4" w:space="0" w:color="auto"/>
              <w:right w:val="nil"/>
            </w:tcBorders>
            <w:shd w:val="clear" w:color="auto" w:fill="0C2577"/>
            <w:vAlign w:val="center"/>
            <w:hideMark/>
          </w:tcPr>
          <w:p w14:paraId="01DF23A2" w14:textId="77777777" w:rsidR="00BF6011" w:rsidRPr="00BF6011" w:rsidRDefault="00BF6011" w:rsidP="00BF6011">
            <w:pPr>
              <w:jc w:val="center"/>
              <w:rPr>
                <w:rFonts w:cs="Calibri"/>
                <w:b/>
                <w:bCs/>
                <w:color w:val="FFFFFF"/>
                <w:sz w:val="22"/>
                <w:szCs w:val="22"/>
              </w:rPr>
            </w:pPr>
            <w:r w:rsidRPr="00BF6011">
              <w:rPr>
                <w:rFonts w:cs="Calibri"/>
                <w:b/>
                <w:bCs/>
                <w:color w:val="FFFFFF"/>
                <w:sz w:val="22"/>
                <w:szCs w:val="22"/>
              </w:rPr>
              <w:t>Ref. Load (MWh/h)</w:t>
            </w:r>
          </w:p>
        </w:tc>
        <w:tc>
          <w:tcPr>
            <w:tcW w:w="960" w:type="dxa"/>
            <w:tcBorders>
              <w:top w:val="nil"/>
              <w:left w:val="single" w:sz="4" w:space="0" w:color="FFFFFF"/>
              <w:bottom w:val="single" w:sz="4" w:space="0" w:color="auto"/>
              <w:right w:val="single" w:sz="4" w:space="0" w:color="FFFFFF"/>
            </w:tcBorders>
            <w:shd w:val="clear" w:color="auto" w:fill="0C2577"/>
            <w:vAlign w:val="center"/>
            <w:hideMark/>
          </w:tcPr>
          <w:p w14:paraId="6866C10F" w14:textId="77777777" w:rsidR="00BF6011" w:rsidRPr="00BF6011" w:rsidRDefault="00BF6011" w:rsidP="00BF6011">
            <w:pPr>
              <w:jc w:val="center"/>
              <w:rPr>
                <w:rFonts w:cs="Calibri"/>
                <w:b/>
                <w:bCs/>
                <w:color w:val="FFFFFF"/>
                <w:sz w:val="22"/>
                <w:szCs w:val="22"/>
              </w:rPr>
            </w:pPr>
            <w:r w:rsidRPr="00BF6011">
              <w:rPr>
                <w:rFonts w:cs="Calibri"/>
                <w:b/>
                <w:bCs/>
                <w:color w:val="FFFFFF"/>
                <w:sz w:val="22"/>
                <w:szCs w:val="22"/>
              </w:rPr>
              <w:t>Load Impact (MWh/h)</w:t>
            </w:r>
          </w:p>
        </w:tc>
        <w:tc>
          <w:tcPr>
            <w:tcW w:w="960" w:type="dxa"/>
            <w:tcBorders>
              <w:top w:val="nil"/>
              <w:left w:val="nil"/>
              <w:bottom w:val="single" w:sz="4" w:space="0" w:color="auto"/>
              <w:right w:val="nil"/>
            </w:tcBorders>
            <w:shd w:val="clear" w:color="auto" w:fill="0C2577"/>
            <w:vAlign w:val="center"/>
            <w:hideMark/>
          </w:tcPr>
          <w:p w14:paraId="49095A08" w14:textId="77777777" w:rsidR="00BF6011" w:rsidRPr="00BF6011" w:rsidRDefault="00BF6011" w:rsidP="00BF6011">
            <w:pPr>
              <w:jc w:val="center"/>
              <w:rPr>
                <w:rFonts w:cs="Calibri"/>
                <w:b/>
                <w:bCs/>
                <w:color w:val="FFFFFF"/>
                <w:sz w:val="22"/>
                <w:szCs w:val="22"/>
              </w:rPr>
            </w:pPr>
            <w:r w:rsidRPr="00BF6011">
              <w:rPr>
                <w:rFonts w:cs="Calibri"/>
                <w:b/>
                <w:bCs/>
                <w:color w:val="FFFFFF"/>
                <w:sz w:val="22"/>
                <w:szCs w:val="22"/>
              </w:rPr>
              <w:t>Ref. Load (kWh/h)</w:t>
            </w:r>
          </w:p>
        </w:tc>
        <w:tc>
          <w:tcPr>
            <w:tcW w:w="960" w:type="dxa"/>
            <w:tcBorders>
              <w:top w:val="nil"/>
              <w:left w:val="single" w:sz="4" w:space="0" w:color="FFFFFF"/>
              <w:bottom w:val="single" w:sz="4" w:space="0" w:color="auto"/>
              <w:right w:val="nil"/>
            </w:tcBorders>
            <w:shd w:val="clear" w:color="auto" w:fill="0C2577"/>
            <w:vAlign w:val="center"/>
            <w:hideMark/>
          </w:tcPr>
          <w:p w14:paraId="06CFBFDF" w14:textId="77777777" w:rsidR="00BF6011" w:rsidRPr="00BF6011" w:rsidRDefault="00BF6011" w:rsidP="00BF6011">
            <w:pPr>
              <w:jc w:val="center"/>
              <w:rPr>
                <w:rFonts w:cs="Calibri"/>
                <w:b/>
                <w:bCs/>
                <w:color w:val="FFFFFF"/>
                <w:sz w:val="22"/>
                <w:szCs w:val="22"/>
              </w:rPr>
            </w:pPr>
            <w:r w:rsidRPr="00BF6011">
              <w:rPr>
                <w:rFonts w:cs="Calibri"/>
                <w:b/>
                <w:bCs/>
                <w:color w:val="FFFFFF"/>
                <w:sz w:val="22"/>
                <w:szCs w:val="22"/>
              </w:rPr>
              <w:t>Load Impact (kWh/h)</w:t>
            </w:r>
          </w:p>
        </w:tc>
        <w:tc>
          <w:tcPr>
            <w:tcW w:w="960" w:type="dxa"/>
            <w:tcBorders>
              <w:top w:val="nil"/>
              <w:left w:val="single" w:sz="4" w:space="0" w:color="FFFFFF"/>
              <w:bottom w:val="single" w:sz="4" w:space="0" w:color="auto"/>
              <w:right w:val="single" w:sz="4" w:space="0" w:color="FFFFFF"/>
            </w:tcBorders>
            <w:shd w:val="clear" w:color="auto" w:fill="0C2577"/>
            <w:vAlign w:val="center"/>
            <w:hideMark/>
          </w:tcPr>
          <w:p w14:paraId="6B00951E" w14:textId="77777777" w:rsidR="00BF6011" w:rsidRPr="00BF6011" w:rsidRDefault="00BF6011" w:rsidP="00BF6011">
            <w:pPr>
              <w:jc w:val="center"/>
              <w:rPr>
                <w:rFonts w:cs="Calibri"/>
                <w:b/>
                <w:bCs/>
                <w:color w:val="FFFFFF"/>
                <w:sz w:val="22"/>
                <w:szCs w:val="22"/>
              </w:rPr>
            </w:pPr>
            <w:r w:rsidRPr="00BF6011">
              <w:rPr>
                <w:rFonts w:cs="Calibri"/>
                <w:b/>
                <w:bCs/>
                <w:color w:val="FFFFFF"/>
                <w:sz w:val="22"/>
                <w:szCs w:val="22"/>
              </w:rPr>
              <w:t>% Load Impact</w:t>
            </w:r>
          </w:p>
        </w:tc>
        <w:tc>
          <w:tcPr>
            <w:tcW w:w="960" w:type="dxa"/>
            <w:tcBorders>
              <w:top w:val="nil"/>
              <w:left w:val="nil"/>
              <w:bottom w:val="single" w:sz="4" w:space="0" w:color="auto"/>
              <w:right w:val="single" w:sz="4" w:space="0" w:color="auto"/>
            </w:tcBorders>
            <w:shd w:val="clear" w:color="auto" w:fill="0C2577"/>
            <w:vAlign w:val="center"/>
            <w:hideMark/>
          </w:tcPr>
          <w:p w14:paraId="10658834" w14:textId="77777777" w:rsidR="00BF6011" w:rsidRPr="00BF6011" w:rsidRDefault="00BF6011" w:rsidP="00BF6011">
            <w:pPr>
              <w:jc w:val="center"/>
              <w:rPr>
                <w:rFonts w:cs="Calibri"/>
                <w:b/>
                <w:bCs/>
                <w:color w:val="FFFFFF"/>
                <w:sz w:val="22"/>
                <w:szCs w:val="22"/>
              </w:rPr>
            </w:pPr>
            <w:r w:rsidRPr="00BF6011">
              <w:rPr>
                <w:rFonts w:cs="Calibri"/>
                <w:b/>
                <w:bCs/>
                <w:color w:val="FFFFFF"/>
                <w:sz w:val="22"/>
                <w:szCs w:val="22"/>
              </w:rPr>
              <w:t>Ave. Event Temp.</w:t>
            </w:r>
          </w:p>
        </w:tc>
      </w:tr>
      <w:tr w:rsidR="00BF6011" w:rsidRPr="00BF6011" w14:paraId="59BEBA9D" w14:textId="77777777" w:rsidTr="00237521">
        <w:trPr>
          <w:trHeight w:val="20"/>
          <w:jc w:val="center"/>
        </w:trPr>
        <w:tc>
          <w:tcPr>
            <w:tcW w:w="960" w:type="dxa"/>
            <w:tcBorders>
              <w:top w:val="nil"/>
              <w:left w:val="single" w:sz="4" w:space="0" w:color="auto"/>
              <w:right w:val="single" w:sz="4" w:space="0" w:color="auto"/>
            </w:tcBorders>
            <w:shd w:val="clear" w:color="000000" w:fill="FFFFFF"/>
            <w:noWrap/>
            <w:vAlign w:val="bottom"/>
            <w:hideMark/>
          </w:tcPr>
          <w:p w14:paraId="487A802B" w14:textId="77777777" w:rsidR="00BF6011" w:rsidRPr="00BF6011" w:rsidRDefault="00BF6011" w:rsidP="00BF6011">
            <w:pPr>
              <w:jc w:val="center"/>
              <w:rPr>
                <w:rFonts w:cs="Calibri"/>
                <w:sz w:val="22"/>
                <w:szCs w:val="22"/>
              </w:rPr>
            </w:pPr>
            <w:r w:rsidRPr="00BF6011">
              <w:rPr>
                <w:rFonts w:cs="Calibri"/>
                <w:sz w:val="22"/>
                <w:szCs w:val="22"/>
              </w:rPr>
              <w:t>Coastal</w:t>
            </w:r>
          </w:p>
        </w:tc>
        <w:tc>
          <w:tcPr>
            <w:tcW w:w="960" w:type="dxa"/>
            <w:tcBorders>
              <w:top w:val="nil"/>
              <w:left w:val="nil"/>
              <w:right w:val="single" w:sz="4" w:space="0" w:color="auto"/>
            </w:tcBorders>
            <w:shd w:val="clear" w:color="000000" w:fill="FFFFFF"/>
            <w:noWrap/>
            <w:vAlign w:val="bottom"/>
            <w:hideMark/>
          </w:tcPr>
          <w:p w14:paraId="1E93BB6E" w14:textId="77777777" w:rsidR="00BF6011" w:rsidRPr="00BF6011" w:rsidRDefault="00BF6011" w:rsidP="00BF6011">
            <w:pPr>
              <w:ind w:firstLineChars="100" w:firstLine="220"/>
              <w:jc w:val="center"/>
              <w:rPr>
                <w:rFonts w:cs="Calibri"/>
                <w:sz w:val="22"/>
                <w:szCs w:val="22"/>
              </w:rPr>
            </w:pPr>
            <w:r w:rsidRPr="00BF6011">
              <w:rPr>
                <w:rFonts w:cs="Calibri"/>
                <w:sz w:val="22"/>
                <w:szCs w:val="22"/>
              </w:rPr>
              <w:t>2,847</w:t>
            </w:r>
          </w:p>
        </w:tc>
        <w:tc>
          <w:tcPr>
            <w:tcW w:w="960" w:type="dxa"/>
            <w:tcBorders>
              <w:top w:val="nil"/>
              <w:left w:val="nil"/>
              <w:right w:val="single" w:sz="4" w:space="0" w:color="auto"/>
            </w:tcBorders>
            <w:shd w:val="clear" w:color="000000" w:fill="FFFFFF"/>
            <w:noWrap/>
            <w:vAlign w:val="bottom"/>
            <w:hideMark/>
          </w:tcPr>
          <w:p w14:paraId="248A1B37" w14:textId="77777777" w:rsidR="00BF6011" w:rsidRPr="00BF6011" w:rsidRDefault="00BF6011" w:rsidP="00BF6011">
            <w:pPr>
              <w:ind w:firstLineChars="100" w:firstLine="220"/>
              <w:jc w:val="center"/>
              <w:rPr>
                <w:rFonts w:cs="Calibri"/>
                <w:sz w:val="22"/>
                <w:szCs w:val="22"/>
              </w:rPr>
            </w:pPr>
            <w:r w:rsidRPr="00BF6011">
              <w:rPr>
                <w:rFonts w:cs="Calibri"/>
                <w:sz w:val="22"/>
                <w:szCs w:val="22"/>
              </w:rPr>
              <w:t>3.36</w:t>
            </w:r>
          </w:p>
        </w:tc>
        <w:tc>
          <w:tcPr>
            <w:tcW w:w="960" w:type="dxa"/>
            <w:tcBorders>
              <w:top w:val="nil"/>
              <w:left w:val="nil"/>
              <w:right w:val="single" w:sz="4" w:space="0" w:color="auto"/>
            </w:tcBorders>
            <w:shd w:val="clear" w:color="000000" w:fill="FFFFFF"/>
            <w:noWrap/>
            <w:vAlign w:val="bottom"/>
            <w:hideMark/>
          </w:tcPr>
          <w:p w14:paraId="6142E5EB" w14:textId="77777777" w:rsidR="00BF6011" w:rsidRPr="00BF6011" w:rsidRDefault="00BF6011" w:rsidP="00BF6011">
            <w:pPr>
              <w:ind w:firstLineChars="100" w:firstLine="220"/>
              <w:jc w:val="center"/>
              <w:rPr>
                <w:rFonts w:cs="Calibri"/>
                <w:sz w:val="22"/>
                <w:szCs w:val="22"/>
              </w:rPr>
            </w:pPr>
            <w:r w:rsidRPr="00BF6011">
              <w:rPr>
                <w:rFonts w:cs="Calibri"/>
                <w:sz w:val="22"/>
                <w:szCs w:val="22"/>
              </w:rPr>
              <w:t>0.47</w:t>
            </w:r>
          </w:p>
        </w:tc>
        <w:tc>
          <w:tcPr>
            <w:tcW w:w="960" w:type="dxa"/>
            <w:tcBorders>
              <w:top w:val="nil"/>
              <w:left w:val="nil"/>
              <w:right w:val="single" w:sz="4" w:space="0" w:color="auto"/>
            </w:tcBorders>
            <w:shd w:val="clear" w:color="000000" w:fill="FFFFFF"/>
            <w:noWrap/>
            <w:vAlign w:val="bottom"/>
            <w:hideMark/>
          </w:tcPr>
          <w:p w14:paraId="5E7B5983" w14:textId="77777777" w:rsidR="00BF6011" w:rsidRPr="00BF6011" w:rsidRDefault="00BF6011" w:rsidP="00BF6011">
            <w:pPr>
              <w:ind w:firstLineChars="100" w:firstLine="220"/>
              <w:jc w:val="center"/>
              <w:rPr>
                <w:rFonts w:cs="Calibri"/>
                <w:sz w:val="22"/>
                <w:szCs w:val="22"/>
              </w:rPr>
            </w:pPr>
            <w:r w:rsidRPr="00BF6011">
              <w:rPr>
                <w:rFonts w:cs="Calibri"/>
                <w:sz w:val="22"/>
                <w:szCs w:val="22"/>
              </w:rPr>
              <w:t>1.18</w:t>
            </w:r>
          </w:p>
        </w:tc>
        <w:tc>
          <w:tcPr>
            <w:tcW w:w="960" w:type="dxa"/>
            <w:tcBorders>
              <w:top w:val="nil"/>
              <w:left w:val="nil"/>
              <w:right w:val="single" w:sz="4" w:space="0" w:color="auto"/>
            </w:tcBorders>
            <w:shd w:val="clear" w:color="000000" w:fill="FFFFFF"/>
            <w:noWrap/>
            <w:vAlign w:val="bottom"/>
            <w:hideMark/>
          </w:tcPr>
          <w:p w14:paraId="3D25DB12" w14:textId="77777777" w:rsidR="00BF6011" w:rsidRPr="00BF6011" w:rsidRDefault="00BF6011" w:rsidP="00BF6011">
            <w:pPr>
              <w:ind w:firstLineChars="100" w:firstLine="220"/>
              <w:jc w:val="center"/>
              <w:rPr>
                <w:rFonts w:cs="Calibri"/>
                <w:sz w:val="22"/>
                <w:szCs w:val="22"/>
              </w:rPr>
            </w:pPr>
            <w:r w:rsidRPr="00BF6011">
              <w:rPr>
                <w:rFonts w:cs="Calibri"/>
                <w:sz w:val="22"/>
                <w:szCs w:val="22"/>
              </w:rPr>
              <w:t>0.17</w:t>
            </w:r>
          </w:p>
        </w:tc>
        <w:tc>
          <w:tcPr>
            <w:tcW w:w="960" w:type="dxa"/>
            <w:tcBorders>
              <w:top w:val="nil"/>
              <w:left w:val="nil"/>
              <w:right w:val="single" w:sz="4" w:space="0" w:color="auto"/>
            </w:tcBorders>
            <w:shd w:val="clear" w:color="000000" w:fill="FFFFFF"/>
            <w:noWrap/>
            <w:vAlign w:val="bottom"/>
            <w:hideMark/>
          </w:tcPr>
          <w:p w14:paraId="70520B44" w14:textId="77777777" w:rsidR="00BF6011" w:rsidRPr="00BF6011" w:rsidRDefault="00BF6011" w:rsidP="00BF6011">
            <w:pPr>
              <w:ind w:firstLineChars="100" w:firstLine="220"/>
              <w:jc w:val="center"/>
              <w:rPr>
                <w:rFonts w:cs="Calibri"/>
                <w:sz w:val="22"/>
                <w:szCs w:val="22"/>
              </w:rPr>
            </w:pPr>
            <w:r w:rsidRPr="00BF6011">
              <w:rPr>
                <w:rFonts w:cs="Calibri"/>
                <w:sz w:val="22"/>
                <w:szCs w:val="22"/>
              </w:rPr>
              <w:t>14%</w:t>
            </w:r>
          </w:p>
        </w:tc>
        <w:tc>
          <w:tcPr>
            <w:tcW w:w="960" w:type="dxa"/>
            <w:tcBorders>
              <w:top w:val="nil"/>
              <w:left w:val="nil"/>
              <w:right w:val="single" w:sz="4" w:space="0" w:color="auto"/>
            </w:tcBorders>
            <w:shd w:val="clear" w:color="000000" w:fill="FFFFFF"/>
            <w:noWrap/>
            <w:vAlign w:val="bottom"/>
            <w:hideMark/>
          </w:tcPr>
          <w:p w14:paraId="168725B8" w14:textId="77777777" w:rsidR="00BF6011" w:rsidRPr="00BF6011" w:rsidRDefault="00BF6011" w:rsidP="00BF6011">
            <w:pPr>
              <w:ind w:firstLineChars="100" w:firstLine="220"/>
              <w:jc w:val="center"/>
              <w:rPr>
                <w:rFonts w:cs="Calibri"/>
                <w:sz w:val="22"/>
                <w:szCs w:val="22"/>
              </w:rPr>
            </w:pPr>
            <w:r w:rsidRPr="00BF6011">
              <w:rPr>
                <w:rFonts w:cs="Calibri"/>
                <w:sz w:val="22"/>
                <w:szCs w:val="22"/>
              </w:rPr>
              <w:t>89</w:t>
            </w:r>
          </w:p>
        </w:tc>
      </w:tr>
      <w:tr w:rsidR="00BF6011" w:rsidRPr="00BF6011" w14:paraId="06E3ACA3" w14:textId="77777777" w:rsidTr="00237521">
        <w:trPr>
          <w:trHeight w:val="20"/>
          <w:jc w:val="center"/>
        </w:trPr>
        <w:tc>
          <w:tcPr>
            <w:tcW w:w="960" w:type="dxa"/>
            <w:tcBorders>
              <w:top w:val="nil"/>
              <w:left w:val="single" w:sz="4" w:space="0" w:color="auto"/>
              <w:right w:val="single" w:sz="4" w:space="0" w:color="auto"/>
            </w:tcBorders>
            <w:shd w:val="clear" w:color="000000" w:fill="FFFFFF"/>
            <w:noWrap/>
            <w:vAlign w:val="bottom"/>
            <w:hideMark/>
          </w:tcPr>
          <w:p w14:paraId="050A10C6" w14:textId="77777777" w:rsidR="00BF6011" w:rsidRPr="00BF6011" w:rsidRDefault="00BF6011" w:rsidP="00BF6011">
            <w:pPr>
              <w:jc w:val="center"/>
              <w:rPr>
                <w:rFonts w:cs="Calibri"/>
                <w:sz w:val="22"/>
                <w:szCs w:val="22"/>
              </w:rPr>
            </w:pPr>
            <w:r w:rsidRPr="00BF6011">
              <w:rPr>
                <w:rFonts w:cs="Calibri"/>
                <w:sz w:val="22"/>
                <w:szCs w:val="22"/>
              </w:rPr>
              <w:t>Inland</w:t>
            </w:r>
          </w:p>
        </w:tc>
        <w:tc>
          <w:tcPr>
            <w:tcW w:w="960" w:type="dxa"/>
            <w:tcBorders>
              <w:top w:val="nil"/>
              <w:left w:val="nil"/>
              <w:right w:val="single" w:sz="4" w:space="0" w:color="auto"/>
            </w:tcBorders>
            <w:shd w:val="clear" w:color="000000" w:fill="FFFFFF"/>
            <w:noWrap/>
            <w:vAlign w:val="bottom"/>
            <w:hideMark/>
          </w:tcPr>
          <w:p w14:paraId="6E323971" w14:textId="77777777" w:rsidR="00BF6011" w:rsidRPr="00BF6011" w:rsidRDefault="00BF6011" w:rsidP="00BF6011">
            <w:pPr>
              <w:ind w:firstLineChars="100" w:firstLine="220"/>
              <w:jc w:val="center"/>
              <w:rPr>
                <w:rFonts w:cs="Calibri"/>
                <w:sz w:val="22"/>
                <w:szCs w:val="22"/>
              </w:rPr>
            </w:pPr>
            <w:r w:rsidRPr="00BF6011">
              <w:rPr>
                <w:rFonts w:cs="Calibri"/>
                <w:sz w:val="22"/>
                <w:szCs w:val="22"/>
              </w:rPr>
              <w:t>2,089</w:t>
            </w:r>
          </w:p>
        </w:tc>
        <w:tc>
          <w:tcPr>
            <w:tcW w:w="960" w:type="dxa"/>
            <w:tcBorders>
              <w:top w:val="nil"/>
              <w:left w:val="nil"/>
              <w:right w:val="single" w:sz="4" w:space="0" w:color="auto"/>
            </w:tcBorders>
            <w:shd w:val="clear" w:color="000000" w:fill="FFFFFF"/>
            <w:noWrap/>
            <w:vAlign w:val="bottom"/>
            <w:hideMark/>
          </w:tcPr>
          <w:p w14:paraId="17D2A920" w14:textId="77777777" w:rsidR="00BF6011" w:rsidRPr="00BF6011" w:rsidRDefault="00BF6011" w:rsidP="00BF6011">
            <w:pPr>
              <w:ind w:firstLineChars="100" w:firstLine="220"/>
              <w:jc w:val="center"/>
              <w:rPr>
                <w:rFonts w:cs="Calibri"/>
                <w:sz w:val="22"/>
                <w:szCs w:val="22"/>
              </w:rPr>
            </w:pPr>
            <w:r w:rsidRPr="00BF6011">
              <w:rPr>
                <w:rFonts w:cs="Calibri"/>
                <w:sz w:val="22"/>
                <w:szCs w:val="22"/>
              </w:rPr>
              <w:t>3.43</w:t>
            </w:r>
          </w:p>
        </w:tc>
        <w:tc>
          <w:tcPr>
            <w:tcW w:w="960" w:type="dxa"/>
            <w:tcBorders>
              <w:top w:val="nil"/>
              <w:left w:val="nil"/>
              <w:right w:val="single" w:sz="4" w:space="0" w:color="auto"/>
            </w:tcBorders>
            <w:shd w:val="clear" w:color="000000" w:fill="FFFFFF"/>
            <w:noWrap/>
            <w:vAlign w:val="bottom"/>
            <w:hideMark/>
          </w:tcPr>
          <w:p w14:paraId="07AEFAE2" w14:textId="77777777" w:rsidR="00BF6011" w:rsidRPr="00BF6011" w:rsidRDefault="00BF6011" w:rsidP="00BF6011">
            <w:pPr>
              <w:ind w:firstLineChars="100" w:firstLine="220"/>
              <w:jc w:val="center"/>
              <w:rPr>
                <w:rFonts w:cs="Calibri"/>
                <w:sz w:val="22"/>
                <w:szCs w:val="22"/>
              </w:rPr>
            </w:pPr>
            <w:r w:rsidRPr="00BF6011">
              <w:rPr>
                <w:rFonts w:cs="Calibri"/>
                <w:sz w:val="22"/>
                <w:szCs w:val="22"/>
              </w:rPr>
              <w:t>0.44</w:t>
            </w:r>
          </w:p>
        </w:tc>
        <w:tc>
          <w:tcPr>
            <w:tcW w:w="960" w:type="dxa"/>
            <w:tcBorders>
              <w:top w:val="nil"/>
              <w:left w:val="nil"/>
              <w:right w:val="single" w:sz="4" w:space="0" w:color="auto"/>
            </w:tcBorders>
            <w:shd w:val="clear" w:color="000000" w:fill="FFFFFF"/>
            <w:noWrap/>
            <w:vAlign w:val="bottom"/>
            <w:hideMark/>
          </w:tcPr>
          <w:p w14:paraId="5EDB63CD" w14:textId="77777777" w:rsidR="00BF6011" w:rsidRPr="00BF6011" w:rsidRDefault="00BF6011" w:rsidP="00BF6011">
            <w:pPr>
              <w:ind w:firstLineChars="100" w:firstLine="220"/>
              <w:jc w:val="center"/>
              <w:rPr>
                <w:rFonts w:cs="Calibri"/>
                <w:sz w:val="22"/>
                <w:szCs w:val="22"/>
              </w:rPr>
            </w:pPr>
            <w:r w:rsidRPr="00BF6011">
              <w:rPr>
                <w:rFonts w:cs="Calibri"/>
                <w:sz w:val="22"/>
                <w:szCs w:val="22"/>
              </w:rPr>
              <w:t>1.64</w:t>
            </w:r>
          </w:p>
        </w:tc>
        <w:tc>
          <w:tcPr>
            <w:tcW w:w="960" w:type="dxa"/>
            <w:tcBorders>
              <w:top w:val="nil"/>
              <w:left w:val="nil"/>
              <w:right w:val="single" w:sz="4" w:space="0" w:color="auto"/>
            </w:tcBorders>
            <w:shd w:val="clear" w:color="000000" w:fill="FFFFFF"/>
            <w:noWrap/>
            <w:vAlign w:val="bottom"/>
            <w:hideMark/>
          </w:tcPr>
          <w:p w14:paraId="2190960D" w14:textId="77777777" w:rsidR="00BF6011" w:rsidRPr="00BF6011" w:rsidRDefault="00BF6011" w:rsidP="00BF6011">
            <w:pPr>
              <w:ind w:firstLineChars="100" w:firstLine="220"/>
              <w:jc w:val="center"/>
              <w:rPr>
                <w:rFonts w:cs="Calibri"/>
                <w:sz w:val="22"/>
                <w:szCs w:val="22"/>
              </w:rPr>
            </w:pPr>
            <w:r w:rsidRPr="00BF6011">
              <w:rPr>
                <w:rFonts w:cs="Calibri"/>
                <w:sz w:val="22"/>
                <w:szCs w:val="22"/>
              </w:rPr>
              <w:t>0.21</w:t>
            </w:r>
          </w:p>
        </w:tc>
        <w:tc>
          <w:tcPr>
            <w:tcW w:w="960" w:type="dxa"/>
            <w:tcBorders>
              <w:top w:val="nil"/>
              <w:left w:val="nil"/>
              <w:right w:val="single" w:sz="4" w:space="0" w:color="auto"/>
            </w:tcBorders>
            <w:shd w:val="clear" w:color="000000" w:fill="FFFFFF"/>
            <w:noWrap/>
            <w:vAlign w:val="bottom"/>
            <w:hideMark/>
          </w:tcPr>
          <w:p w14:paraId="42D93DC0" w14:textId="77777777" w:rsidR="00BF6011" w:rsidRPr="00BF6011" w:rsidRDefault="00BF6011" w:rsidP="00BF6011">
            <w:pPr>
              <w:ind w:firstLineChars="100" w:firstLine="220"/>
              <w:jc w:val="center"/>
              <w:rPr>
                <w:rFonts w:cs="Calibri"/>
                <w:sz w:val="22"/>
                <w:szCs w:val="22"/>
              </w:rPr>
            </w:pPr>
            <w:r w:rsidRPr="00BF6011">
              <w:rPr>
                <w:rFonts w:cs="Calibri"/>
                <w:sz w:val="22"/>
                <w:szCs w:val="22"/>
              </w:rPr>
              <w:t>13%</w:t>
            </w:r>
          </w:p>
        </w:tc>
        <w:tc>
          <w:tcPr>
            <w:tcW w:w="960" w:type="dxa"/>
            <w:tcBorders>
              <w:top w:val="nil"/>
              <w:left w:val="nil"/>
              <w:right w:val="single" w:sz="4" w:space="0" w:color="auto"/>
            </w:tcBorders>
            <w:shd w:val="clear" w:color="000000" w:fill="FFFFFF"/>
            <w:noWrap/>
            <w:vAlign w:val="bottom"/>
            <w:hideMark/>
          </w:tcPr>
          <w:p w14:paraId="2322BE1A" w14:textId="77777777" w:rsidR="00BF6011" w:rsidRPr="00BF6011" w:rsidRDefault="00BF6011" w:rsidP="00BF6011">
            <w:pPr>
              <w:ind w:firstLineChars="100" w:firstLine="220"/>
              <w:jc w:val="center"/>
              <w:rPr>
                <w:rFonts w:cs="Calibri"/>
                <w:sz w:val="22"/>
                <w:szCs w:val="22"/>
              </w:rPr>
            </w:pPr>
            <w:r w:rsidRPr="00BF6011">
              <w:rPr>
                <w:rFonts w:cs="Calibri"/>
                <w:sz w:val="22"/>
                <w:szCs w:val="22"/>
              </w:rPr>
              <w:t>95</w:t>
            </w:r>
          </w:p>
        </w:tc>
      </w:tr>
      <w:tr w:rsidR="00BF6011" w:rsidRPr="00BF6011" w14:paraId="64E238E9" w14:textId="77777777" w:rsidTr="00237521">
        <w:trPr>
          <w:trHeight w:val="20"/>
          <w:jc w:val="center"/>
        </w:trPr>
        <w:tc>
          <w:tcPr>
            <w:tcW w:w="960" w:type="dxa"/>
            <w:tcBorders>
              <w:left w:val="single" w:sz="4" w:space="0" w:color="auto"/>
              <w:bottom w:val="single" w:sz="4" w:space="0" w:color="auto"/>
              <w:right w:val="single" w:sz="4" w:space="0" w:color="auto"/>
            </w:tcBorders>
            <w:shd w:val="clear" w:color="000000" w:fill="FFFFFF"/>
            <w:noWrap/>
            <w:vAlign w:val="bottom"/>
            <w:hideMark/>
          </w:tcPr>
          <w:p w14:paraId="67629DBD" w14:textId="77777777" w:rsidR="00BF6011" w:rsidRPr="00237521" w:rsidRDefault="00BF6011" w:rsidP="00BF6011">
            <w:pPr>
              <w:jc w:val="center"/>
              <w:rPr>
                <w:rFonts w:cs="Calibri"/>
                <w:b/>
                <w:sz w:val="22"/>
                <w:szCs w:val="22"/>
              </w:rPr>
            </w:pPr>
            <w:r w:rsidRPr="00237521">
              <w:rPr>
                <w:rFonts w:cs="Calibri"/>
                <w:b/>
                <w:sz w:val="22"/>
                <w:szCs w:val="22"/>
              </w:rPr>
              <w:t>All</w:t>
            </w:r>
          </w:p>
        </w:tc>
        <w:tc>
          <w:tcPr>
            <w:tcW w:w="960" w:type="dxa"/>
            <w:tcBorders>
              <w:left w:val="nil"/>
              <w:bottom w:val="single" w:sz="4" w:space="0" w:color="auto"/>
              <w:right w:val="single" w:sz="4" w:space="0" w:color="auto"/>
            </w:tcBorders>
            <w:shd w:val="clear" w:color="000000" w:fill="FFFFFF"/>
            <w:noWrap/>
            <w:vAlign w:val="bottom"/>
            <w:hideMark/>
          </w:tcPr>
          <w:p w14:paraId="4D4A4229" w14:textId="77777777" w:rsidR="00BF6011" w:rsidRPr="00237521" w:rsidRDefault="00BF6011" w:rsidP="00BF6011">
            <w:pPr>
              <w:ind w:firstLineChars="100" w:firstLine="221"/>
              <w:jc w:val="center"/>
              <w:rPr>
                <w:rFonts w:cs="Calibri"/>
                <w:b/>
                <w:sz w:val="22"/>
                <w:szCs w:val="22"/>
              </w:rPr>
            </w:pPr>
            <w:r w:rsidRPr="00237521">
              <w:rPr>
                <w:rFonts w:cs="Calibri"/>
                <w:b/>
                <w:sz w:val="22"/>
                <w:szCs w:val="22"/>
              </w:rPr>
              <w:t>4,935</w:t>
            </w:r>
          </w:p>
        </w:tc>
        <w:tc>
          <w:tcPr>
            <w:tcW w:w="960" w:type="dxa"/>
            <w:tcBorders>
              <w:left w:val="nil"/>
              <w:bottom w:val="single" w:sz="4" w:space="0" w:color="auto"/>
              <w:right w:val="single" w:sz="4" w:space="0" w:color="auto"/>
            </w:tcBorders>
            <w:shd w:val="clear" w:color="000000" w:fill="FFFFFF"/>
            <w:noWrap/>
            <w:vAlign w:val="bottom"/>
            <w:hideMark/>
          </w:tcPr>
          <w:p w14:paraId="34D90B51" w14:textId="77777777" w:rsidR="00BF6011" w:rsidRPr="00237521" w:rsidRDefault="00BF6011" w:rsidP="00BF6011">
            <w:pPr>
              <w:ind w:firstLineChars="100" w:firstLine="221"/>
              <w:jc w:val="center"/>
              <w:rPr>
                <w:rFonts w:cs="Calibri"/>
                <w:b/>
                <w:sz w:val="22"/>
                <w:szCs w:val="22"/>
              </w:rPr>
            </w:pPr>
            <w:r w:rsidRPr="00237521">
              <w:rPr>
                <w:rFonts w:cs="Calibri"/>
                <w:b/>
                <w:sz w:val="22"/>
                <w:szCs w:val="22"/>
              </w:rPr>
              <w:t>6.76</w:t>
            </w:r>
          </w:p>
        </w:tc>
        <w:tc>
          <w:tcPr>
            <w:tcW w:w="960" w:type="dxa"/>
            <w:tcBorders>
              <w:left w:val="nil"/>
              <w:bottom w:val="single" w:sz="4" w:space="0" w:color="auto"/>
              <w:right w:val="single" w:sz="4" w:space="0" w:color="auto"/>
            </w:tcBorders>
            <w:shd w:val="clear" w:color="000000" w:fill="FFFFFF"/>
            <w:noWrap/>
            <w:vAlign w:val="bottom"/>
            <w:hideMark/>
          </w:tcPr>
          <w:p w14:paraId="0593F5E6" w14:textId="77777777" w:rsidR="00BF6011" w:rsidRPr="00237521" w:rsidRDefault="00BF6011" w:rsidP="00BF6011">
            <w:pPr>
              <w:ind w:firstLineChars="100" w:firstLine="221"/>
              <w:jc w:val="center"/>
              <w:rPr>
                <w:rFonts w:cs="Calibri"/>
                <w:b/>
                <w:sz w:val="22"/>
                <w:szCs w:val="22"/>
              </w:rPr>
            </w:pPr>
            <w:r w:rsidRPr="00237521">
              <w:rPr>
                <w:rFonts w:cs="Calibri"/>
                <w:b/>
                <w:sz w:val="22"/>
                <w:szCs w:val="22"/>
              </w:rPr>
              <w:t>0.90</w:t>
            </w:r>
          </w:p>
        </w:tc>
        <w:tc>
          <w:tcPr>
            <w:tcW w:w="960" w:type="dxa"/>
            <w:tcBorders>
              <w:left w:val="nil"/>
              <w:bottom w:val="single" w:sz="4" w:space="0" w:color="auto"/>
              <w:right w:val="single" w:sz="4" w:space="0" w:color="auto"/>
            </w:tcBorders>
            <w:shd w:val="clear" w:color="000000" w:fill="FFFFFF"/>
            <w:noWrap/>
            <w:vAlign w:val="bottom"/>
            <w:hideMark/>
          </w:tcPr>
          <w:p w14:paraId="184D395F" w14:textId="77777777" w:rsidR="00BF6011" w:rsidRPr="00237521" w:rsidRDefault="00BF6011" w:rsidP="00BF6011">
            <w:pPr>
              <w:ind w:firstLineChars="100" w:firstLine="221"/>
              <w:jc w:val="center"/>
              <w:rPr>
                <w:rFonts w:cs="Calibri"/>
                <w:b/>
                <w:sz w:val="22"/>
                <w:szCs w:val="22"/>
              </w:rPr>
            </w:pPr>
            <w:r w:rsidRPr="00237521">
              <w:rPr>
                <w:rFonts w:cs="Calibri"/>
                <w:b/>
                <w:sz w:val="22"/>
                <w:szCs w:val="22"/>
              </w:rPr>
              <w:t>1.37</w:t>
            </w:r>
          </w:p>
        </w:tc>
        <w:tc>
          <w:tcPr>
            <w:tcW w:w="960" w:type="dxa"/>
            <w:tcBorders>
              <w:left w:val="nil"/>
              <w:bottom w:val="single" w:sz="4" w:space="0" w:color="auto"/>
              <w:right w:val="single" w:sz="4" w:space="0" w:color="auto"/>
            </w:tcBorders>
            <w:shd w:val="clear" w:color="000000" w:fill="FFFFFF"/>
            <w:noWrap/>
            <w:vAlign w:val="bottom"/>
            <w:hideMark/>
          </w:tcPr>
          <w:p w14:paraId="659EA98E" w14:textId="77777777" w:rsidR="00BF6011" w:rsidRPr="00237521" w:rsidRDefault="00BF6011" w:rsidP="00BF6011">
            <w:pPr>
              <w:ind w:firstLineChars="100" w:firstLine="221"/>
              <w:jc w:val="center"/>
              <w:rPr>
                <w:rFonts w:cs="Calibri"/>
                <w:b/>
                <w:sz w:val="22"/>
                <w:szCs w:val="22"/>
              </w:rPr>
            </w:pPr>
            <w:r w:rsidRPr="00237521">
              <w:rPr>
                <w:rFonts w:cs="Calibri"/>
                <w:b/>
                <w:sz w:val="22"/>
                <w:szCs w:val="22"/>
              </w:rPr>
              <w:t>0.18</w:t>
            </w:r>
          </w:p>
        </w:tc>
        <w:tc>
          <w:tcPr>
            <w:tcW w:w="960" w:type="dxa"/>
            <w:tcBorders>
              <w:left w:val="nil"/>
              <w:bottom w:val="single" w:sz="4" w:space="0" w:color="auto"/>
              <w:right w:val="single" w:sz="4" w:space="0" w:color="auto"/>
            </w:tcBorders>
            <w:shd w:val="clear" w:color="000000" w:fill="FFFFFF"/>
            <w:noWrap/>
            <w:vAlign w:val="bottom"/>
            <w:hideMark/>
          </w:tcPr>
          <w:p w14:paraId="12DBA7B2" w14:textId="77777777" w:rsidR="00BF6011" w:rsidRPr="00237521" w:rsidRDefault="00BF6011" w:rsidP="00BF6011">
            <w:pPr>
              <w:ind w:firstLineChars="100" w:firstLine="221"/>
              <w:jc w:val="center"/>
              <w:rPr>
                <w:rFonts w:cs="Calibri"/>
                <w:b/>
                <w:sz w:val="22"/>
                <w:szCs w:val="22"/>
              </w:rPr>
            </w:pPr>
            <w:r w:rsidRPr="00237521">
              <w:rPr>
                <w:rFonts w:cs="Calibri"/>
                <w:b/>
                <w:sz w:val="22"/>
                <w:szCs w:val="22"/>
              </w:rPr>
              <w:t>13%</w:t>
            </w:r>
          </w:p>
        </w:tc>
        <w:tc>
          <w:tcPr>
            <w:tcW w:w="960" w:type="dxa"/>
            <w:tcBorders>
              <w:left w:val="nil"/>
              <w:bottom w:val="single" w:sz="4" w:space="0" w:color="auto"/>
              <w:right w:val="single" w:sz="4" w:space="0" w:color="auto"/>
            </w:tcBorders>
            <w:shd w:val="clear" w:color="000000" w:fill="FFFFFF"/>
            <w:noWrap/>
            <w:vAlign w:val="bottom"/>
            <w:hideMark/>
          </w:tcPr>
          <w:p w14:paraId="0FBD1BDA" w14:textId="77777777" w:rsidR="00BF6011" w:rsidRPr="00237521" w:rsidRDefault="00BF6011" w:rsidP="00BF6011">
            <w:pPr>
              <w:ind w:firstLineChars="100" w:firstLine="221"/>
              <w:jc w:val="center"/>
              <w:rPr>
                <w:rFonts w:cs="Calibri"/>
                <w:b/>
                <w:sz w:val="22"/>
                <w:szCs w:val="22"/>
              </w:rPr>
            </w:pPr>
            <w:r w:rsidRPr="00237521">
              <w:rPr>
                <w:rFonts w:cs="Calibri"/>
                <w:b/>
                <w:sz w:val="22"/>
                <w:szCs w:val="22"/>
              </w:rPr>
              <w:t>92</w:t>
            </w:r>
          </w:p>
        </w:tc>
      </w:tr>
    </w:tbl>
    <w:p w14:paraId="7F764F8A" w14:textId="77777777" w:rsidR="00BF6011" w:rsidRDefault="00BF6011" w:rsidP="00237521"/>
    <w:p w14:paraId="61681356" w14:textId="39D0632B" w:rsidR="00465203" w:rsidRPr="00465203" w:rsidRDefault="00CF5689" w:rsidP="00095AB1">
      <w:pPr>
        <w:spacing w:after="120"/>
      </w:pPr>
      <w:r>
        <w:t xml:space="preserve">Program enrollment was </w:t>
      </w:r>
      <w:r w:rsidR="006E24EC">
        <w:t>4,935</w:t>
      </w:r>
      <w:r>
        <w:t xml:space="preserve"> customers, skewed somewhat toward the Coastal climate zone.</w:t>
      </w:r>
      <w:r>
        <w:rPr>
          <w:rStyle w:val="FootnoteReference"/>
        </w:rPr>
        <w:footnoteReference w:id="1"/>
      </w:r>
      <w:r>
        <w:t xml:space="preserve"> The aggregate reference load was </w:t>
      </w:r>
      <w:r w:rsidR="00C850BD">
        <w:t>6.76</w:t>
      </w:r>
      <w:r>
        <w:t xml:space="preserve"> MW</w:t>
      </w:r>
      <w:r w:rsidR="00676A30">
        <w:t>h/h</w:t>
      </w:r>
      <w:r>
        <w:t>. Per-customer load impacts averaged 0.17 kW</w:t>
      </w:r>
      <w:r w:rsidR="00676A30">
        <w:t>h/h</w:t>
      </w:r>
      <w:r>
        <w:t xml:space="preserve"> for customers in the Coast</w:t>
      </w:r>
      <w:r w:rsidR="00C850BD">
        <w:t>al climate zone, representing 14</w:t>
      </w:r>
      <w:r>
        <w:t xml:space="preserve"> percent o</w:t>
      </w:r>
      <w:r w:rsidR="00C850BD">
        <w:t>f their reference load, and 0.21 kW</w:t>
      </w:r>
      <w:r w:rsidR="00676A30">
        <w:t>h/h</w:t>
      </w:r>
      <w:r w:rsidR="00C850BD">
        <w:t>, or 13</w:t>
      </w:r>
      <w:r>
        <w:t xml:space="preserve"> percent, for the Inland climate zone. Average event-window temperatures were somewhat </w:t>
      </w:r>
      <w:r w:rsidR="00BB1ED6">
        <w:t xml:space="preserve">cooler </w:t>
      </w:r>
      <w:r w:rsidR="00C850BD">
        <w:t>in the Coastal zone, at 89</w:t>
      </w:r>
      <w:r>
        <w:t xml:space="preserve"> degrees, than the </w:t>
      </w:r>
      <w:r w:rsidR="00C850BD">
        <w:t>95</w:t>
      </w:r>
      <w:r>
        <w:t>-degree temperature for the Inland zone.</w:t>
      </w:r>
    </w:p>
    <w:p w14:paraId="6807D6A8" w14:textId="486BB5BA" w:rsidR="00E33213" w:rsidRPr="005A5919" w:rsidRDefault="00947632" w:rsidP="00095AB1">
      <w:pPr>
        <w:pStyle w:val="Heading3"/>
        <w:spacing w:after="120"/>
        <w:rPr>
          <w:sz w:val="24"/>
        </w:rPr>
      </w:pPr>
      <w:bookmarkStart w:id="28" w:name="_Toc509576738"/>
      <w:r w:rsidRPr="005A5919">
        <w:rPr>
          <w:sz w:val="24"/>
        </w:rPr>
        <w:t>TOU</w:t>
      </w:r>
      <w:r w:rsidR="006D42C7">
        <w:rPr>
          <w:sz w:val="24"/>
        </w:rPr>
        <w:t xml:space="preserve"> peak load impacts – TOU (TOU-DR)</w:t>
      </w:r>
      <w:bookmarkEnd w:id="28"/>
    </w:p>
    <w:p w14:paraId="3CCAA2D6" w14:textId="5F6BCBFB" w:rsidR="006B730E" w:rsidRDefault="006D42C7" w:rsidP="006B730E">
      <w:pPr>
        <w:spacing w:after="120"/>
      </w:pPr>
      <w:r>
        <w:t xml:space="preserve">Table ES.2 summarizes the average reference loads and load impacts for </w:t>
      </w:r>
      <w:r w:rsidR="00676A30">
        <w:t xml:space="preserve">customers on the </w:t>
      </w:r>
      <w:r w:rsidR="00F048D1">
        <w:t xml:space="preserve">TOU-DR </w:t>
      </w:r>
      <w:r w:rsidR="00676A30">
        <w:t>rate</w:t>
      </w:r>
      <w:r w:rsidR="00237521">
        <w:t xml:space="preserve"> </w:t>
      </w:r>
      <w:r w:rsidR="00F048D1">
        <w:t xml:space="preserve">for </w:t>
      </w:r>
      <w:r>
        <w:t>the TOU peak period (</w:t>
      </w:r>
      <w:r>
        <w:rPr>
          <w:i/>
        </w:rPr>
        <w:t>i.e.</w:t>
      </w:r>
      <w:r>
        <w:t xml:space="preserve">, 11 a.m. to 6 p.m. for May through October, and 5 to 8 p.m. for November through April), for the average weekday </w:t>
      </w:r>
      <w:r w:rsidRPr="005E0E70">
        <w:rPr>
          <w:i/>
        </w:rPr>
        <w:t xml:space="preserve">by </w:t>
      </w:r>
      <w:r>
        <w:rPr>
          <w:i/>
        </w:rPr>
        <w:t>month</w:t>
      </w:r>
      <w:r>
        <w:t>, on an aggregate and per-customer basis. The months are shown starting with the first month includ</w:t>
      </w:r>
      <w:r w:rsidR="006B730E">
        <w:t>ed in the analysis (October 2016</w:t>
      </w:r>
      <w:r>
        <w:t xml:space="preserve">). The </w:t>
      </w:r>
      <w:r w:rsidR="00F23CC4">
        <w:t>winter</w:t>
      </w:r>
      <w:r>
        <w:t xml:space="preserve"> months are indicated by light blue shading. Enrollment continued throughout the period, with the numbers of enrolled customers rising from </w:t>
      </w:r>
      <w:r w:rsidR="006B730E">
        <w:t>653</w:t>
      </w:r>
      <w:r w:rsidR="000E364C">
        <w:t xml:space="preserve"> </w:t>
      </w:r>
      <w:r w:rsidR="006B730E">
        <w:t>in October 201</w:t>
      </w:r>
      <w:r w:rsidR="00F048D1">
        <w:t>6</w:t>
      </w:r>
      <w:r>
        <w:t xml:space="preserve"> to </w:t>
      </w:r>
      <w:r w:rsidR="006B730E">
        <w:t>1,559</w:t>
      </w:r>
      <w:r w:rsidR="000E364C">
        <w:t xml:space="preserve"> </w:t>
      </w:r>
      <w:r w:rsidR="006B730E">
        <w:t>in September 2017</w:t>
      </w:r>
      <w:r>
        <w:t>.</w:t>
      </w:r>
      <w:r w:rsidR="00CF5689">
        <w:rPr>
          <w:rStyle w:val="FootnoteReference"/>
        </w:rPr>
        <w:footnoteReference w:id="2"/>
      </w:r>
      <w:r>
        <w:t xml:space="preserve"> </w:t>
      </w:r>
      <w:r w:rsidR="00DE01CA" w:rsidRPr="00237521">
        <w:t xml:space="preserve">Due </w:t>
      </w:r>
      <w:r w:rsidR="00DE01CA" w:rsidRPr="00237521">
        <w:lastRenderedPageBreak/>
        <w:t>to the relatively small number of treatment customers, p</w:t>
      </w:r>
      <w:r w:rsidRPr="00237521">
        <w:t xml:space="preserve">ercentage load impacts were </w:t>
      </w:r>
      <w:r w:rsidR="00DE01CA" w:rsidRPr="00237521">
        <w:t xml:space="preserve">constrained in estimation to be the same </w:t>
      </w:r>
      <w:r w:rsidRPr="00237521">
        <w:t xml:space="preserve">across </w:t>
      </w:r>
      <w:r w:rsidR="00DE01CA" w:rsidRPr="00237521">
        <w:t xml:space="preserve">months in </w:t>
      </w:r>
      <w:r w:rsidR="00407C6B">
        <w:t>each</w:t>
      </w:r>
      <w:r w:rsidR="00407C6B" w:rsidRPr="00237521">
        <w:t xml:space="preserve"> </w:t>
      </w:r>
      <w:r w:rsidR="00DE01CA" w:rsidRPr="00237521">
        <w:t>season</w:t>
      </w:r>
      <w:r w:rsidR="00DE01CA">
        <w:t xml:space="preserve">. </w:t>
      </w:r>
      <w:r w:rsidR="006B730E">
        <w:t xml:space="preserve">The estimated seasonal percentage load impacts were approximately 6.0 percent in summer and </w:t>
      </w:r>
      <w:r w:rsidR="00F048D1">
        <w:t xml:space="preserve">negative </w:t>
      </w:r>
      <w:r w:rsidR="006B730E">
        <w:t xml:space="preserve">3.1 percent </w:t>
      </w:r>
      <w:r w:rsidR="00F048D1">
        <w:t>(</w:t>
      </w:r>
      <w:r w:rsidR="00F048D1" w:rsidRPr="00237521">
        <w:rPr>
          <w:i/>
        </w:rPr>
        <w:t>i.e</w:t>
      </w:r>
      <w:r w:rsidR="00F048D1">
        <w:t xml:space="preserve">., a load increase) </w:t>
      </w:r>
      <w:r w:rsidR="006B730E">
        <w:t>in winter.</w:t>
      </w:r>
      <w:r w:rsidR="00F048D1">
        <w:rPr>
          <w:rStyle w:val="FootnoteReference"/>
        </w:rPr>
        <w:footnoteReference w:id="3"/>
      </w:r>
      <w:r w:rsidR="006B730E">
        <w:t xml:space="preserve"> </w:t>
      </w:r>
    </w:p>
    <w:p w14:paraId="1199366D" w14:textId="14EE78BE" w:rsidR="006901B7" w:rsidRDefault="006D42C7" w:rsidP="00DB5021">
      <w:pPr>
        <w:pStyle w:val="TableCaption"/>
        <w:keepNext/>
        <w:keepLines/>
        <w:rPr>
          <w:i/>
        </w:rPr>
      </w:pPr>
      <w:bookmarkStart w:id="29" w:name="_Toc509576785"/>
      <w:r>
        <w:t>Table ES.2: TOU</w:t>
      </w:r>
      <w:r w:rsidR="006D4EEC">
        <w:t xml:space="preserve"> </w:t>
      </w:r>
      <w:r>
        <w:t>Peak Load Impacts</w:t>
      </w:r>
      <w:r w:rsidR="006D4EEC">
        <w:t xml:space="preserve"> for TOU Customers</w:t>
      </w:r>
      <w:r>
        <w:t xml:space="preserve"> – </w:t>
      </w:r>
      <w:r w:rsidRPr="00222B7F">
        <w:rPr>
          <w:i/>
        </w:rPr>
        <w:t xml:space="preserve">Average Weekday by </w:t>
      </w:r>
      <w:r>
        <w:rPr>
          <w:i/>
        </w:rPr>
        <w:t>Month</w:t>
      </w:r>
      <w:bookmarkEnd w:id="29"/>
    </w:p>
    <w:tbl>
      <w:tblPr>
        <w:tblW w:w="9185" w:type="dxa"/>
        <w:jc w:val="center"/>
        <w:tblLook w:val="04A0" w:firstRow="1" w:lastRow="0" w:firstColumn="1" w:lastColumn="0" w:noHBand="0" w:noVBand="1"/>
      </w:tblPr>
      <w:tblGrid>
        <w:gridCol w:w="1200"/>
        <w:gridCol w:w="960"/>
        <w:gridCol w:w="975"/>
        <w:gridCol w:w="1076"/>
        <w:gridCol w:w="1076"/>
        <w:gridCol w:w="989"/>
        <w:gridCol w:w="1099"/>
        <w:gridCol w:w="850"/>
        <w:gridCol w:w="960"/>
      </w:tblGrid>
      <w:tr w:rsidR="00DB5021" w:rsidRPr="00DB5021" w14:paraId="5E0B0B58" w14:textId="77777777" w:rsidTr="00EA4BC0">
        <w:trPr>
          <w:trHeight w:val="20"/>
          <w:jc w:val="center"/>
        </w:trPr>
        <w:tc>
          <w:tcPr>
            <w:tcW w:w="1200" w:type="dxa"/>
            <w:tcBorders>
              <w:top w:val="single" w:sz="4" w:space="0" w:color="auto"/>
              <w:left w:val="single" w:sz="4" w:space="0" w:color="auto"/>
              <w:bottom w:val="nil"/>
              <w:right w:val="single" w:sz="4" w:space="0" w:color="FFFFFF"/>
            </w:tcBorders>
            <w:shd w:val="clear" w:color="000000" w:fill="132577"/>
            <w:noWrap/>
            <w:vAlign w:val="bottom"/>
            <w:hideMark/>
          </w:tcPr>
          <w:p w14:paraId="5EC0ECD3" w14:textId="77777777" w:rsidR="00DB5021" w:rsidRPr="00DB5021" w:rsidRDefault="00DB5021" w:rsidP="00DB5021">
            <w:pPr>
              <w:rPr>
                <w:rFonts w:cs="Calibri"/>
                <w:color w:val="FFFFFF"/>
                <w:sz w:val="22"/>
                <w:szCs w:val="22"/>
              </w:rPr>
            </w:pPr>
            <w:r w:rsidRPr="00DB5021">
              <w:rPr>
                <w:rFonts w:cs="Calibri"/>
                <w:color w:val="FFFFFF"/>
                <w:sz w:val="22"/>
                <w:szCs w:val="22"/>
              </w:rPr>
              <w:t> </w:t>
            </w:r>
          </w:p>
        </w:tc>
        <w:tc>
          <w:tcPr>
            <w:tcW w:w="960" w:type="dxa"/>
            <w:tcBorders>
              <w:top w:val="single" w:sz="4" w:space="0" w:color="auto"/>
              <w:left w:val="nil"/>
              <w:bottom w:val="nil"/>
              <w:right w:val="single" w:sz="4" w:space="0" w:color="FFFFFF"/>
            </w:tcBorders>
            <w:shd w:val="clear" w:color="000000" w:fill="132577"/>
            <w:noWrap/>
            <w:vAlign w:val="bottom"/>
            <w:hideMark/>
          </w:tcPr>
          <w:p w14:paraId="2A4A50F7" w14:textId="77777777" w:rsidR="00DB5021" w:rsidRPr="00DB5021" w:rsidRDefault="00DB5021" w:rsidP="00DB5021">
            <w:pPr>
              <w:rPr>
                <w:rFonts w:cs="Calibri"/>
                <w:color w:val="FFFFFF"/>
                <w:sz w:val="22"/>
                <w:szCs w:val="22"/>
              </w:rPr>
            </w:pPr>
            <w:r w:rsidRPr="00DB5021">
              <w:rPr>
                <w:rFonts w:cs="Calibri"/>
                <w:color w:val="FFFFFF"/>
                <w:sz w:val="22"/>
                <w:szCs w:val="22"/>
              </w:rPr>
              <w:t> </w:t>
            </w:r>
          </w:p>
        </w:tc>
        <w:tc>
          <w:tcPr>
            <w:tcW w:w="975" w:type="dxa"/>
            <w:tcBorders>
              <w:top w:val="single" w:sz="4" w:space="0" w:color="auto"/>
              <w:left w:val="nil"/>
              <w:bottom w:val="nil"/>
              <w:right w:val="single" w:sz="4" w:space="0" w:color="FFFFFF"/>
            </w:tcBorders>
            <w:shd w:val="clear" w:color="000000" w:fill="132577"/>
            <w:noWrap/>
            <w:vAlign w:val="bottom"/>
            <w:hideMark/>
          </w:tcPr>
          <w:p w14:paraId="0010E64E" w14:textId="77777777" w:rsidR="00DB5021" w:rsidRPr="00DB5021" w:rsidRDefault="00DB5021" w:rsidP="00DB5021">
            <w:pPr>
              <w:rPr>
                <w:rFonts w:cs="Calibri"/>
                <w:color w:val="FFFFFF"/>
                <w:sz w:val="22"/>
                <w:szCs w:val="22"/>
              </w:rPr>
            </w:pPr>
            <w:r w:rsidRPr="00DB5021">
              <w:rPr>
                <w:rFonts w:cs="Calibri"/>
                <w:color w:val="FFFFFF"/>
                <w:sz w:val="22"/>
                <w:szCs w:val="22"/>
              </w:rPr>
              <w:t> </w:t>
            </w:r>
          </w:p>
        </w:tc>
        <w:tc>
          <w:tcPr>
            <w:tcW w:w="2152" w:type="dxa"/>
            <w:gridSpan w:val="2"/>
            <w:tcBorders>
              <w:top w:val="single" w:sz="4" w:space="0" w:color="auto"/>
              <w:left w:val="nil"/>
              <w:bottom w:val="nil"/>
              <w:right w:val="single" w:sz="4" w:space="0" w:color="FFFFFF"/>
            </w:tcBorders>
            <w:shd w:val="clear" w:color="000000" w:fill="132577"/>
            <w:noWrap/>
            <w:vAlign w:val="bottom"/>
            <w:hideMark/>
          </w:tcPr>
          <w:p w14:paraId="235FF842" w14:textId="77777777" w:rsidR="00DB5021" w:rsidRPr="00DB5021" w:rsidRDefault="00DB5021" w:rsidP="00DB5021">
            <w:pPr>
              <w:jc w:val="center"/>
              <w:rPr>
                <w:rFonts w:cs="Calibri"/>
                <w:b/>
                <w:bCs/>
                <w:color w:val="FFFFFF"/>
                <w:sz w:val="22"/>
                <w:szCs w:val="22"/>
              </w:rPr>
            </w:pPr>
            <w:r w:rsidRPr="00DB5021">
              <w:rPr>
                <w:rFonts w:cs="Calibri"/>
                <w:b/>
                <w:bCs/>
                <w:color w:val="FFFFFF"/>
                <w:sz w:val="22"/>
                <w:szCs w:val="22"/>
              </w:rPr>
              <w:t>Aggregate</w:t>
            </w:r>
          </w:p>
        </w:tc>
        <w:tc>
          <w:tcPr>
            <w:tcW w:w="2088" w:type="dxa"/>
            <w:gridSpan w:val="2"/>
            <w:tcBorders>
              <w:top w:val="single" w:sz="4" w:space="0" w:color="auto"/>
              <w:left w:val="nil"/>
              <w:bottom w:val="nil"/>
              <w:right w:val="single" w:sz="4" w:space="0" w:color="FFFFFF"/>
            </w:tcBorders>
            <w:shd w:val="clear" w:color="000000" w:fill="132577"/>
            <w:noWrap/>
            <w:vAlign w:val="bottom"/>
            <w:hideMark/>
          </w:tcPr>
          <w:p w14:paraId="33C3BF1D" w14:textId="77777777" w:rsidR="00DB5021" w:rsidRPr="00DB5021" w:rsidRDefault="00DB5021" w:rsidP="00DB5021">
            <w:pPr>
              <w:jc w:val="center"/>
              <w:rPr>
                <w:rFonts w:cs="Calibri"/>
                <w:b/>
                <w:bCs/>
                <w:color w:val="FFFFFF"/>
                <w:sz w:val="22"/>
                <w:szCs w:val="22"/>
              </w:rPr>
            </w:pPr>
            <w:r w:rsidRPr="00DB5021">
              <w:rPr>
                <w:rFonts w:cs="Calibri"/>
                <w:b/>
                <w:bCs/>
                <w:color w:val="FFFFFF"/>
                <w:sz w:val="22"/>
                <w:szCs w:val="22"/>
              </w:rPr>
              <w:t>Per-Customer</w:t>
            </w:r>
          </w:p>
        </w:tc>
        <w:tc>
          <w:tcPr>
            <w:tcW w:w="850" w:type="dxa"/>
            <w:tcBorders>
              <w:top w:val="single" w:sz="4" w:space="0" w:color="auto"/>
              <w:left w:val="nil"/>
              <w:bottom w:val="nil"/>
              <w:right w:val="single" w:sz="4" w:space="0" w:color="FFFFFF"/>
            </w:tcBorders>
            <w:shd w:val="clear" w:color="000000" w:fill="132577"/>
            <w:noWrap/>
            <w:vAlign w:val="bottom"/>
            <w:hideMark/>
          </w:tcPr>
          <w:p w14:paraId="7787996B" w14:textId="77777777" w:rsidR="00DB5021" w:rsidRPr="00DB5021" w:rsidRDefault="00DB5021" w:rsidP="00DB5021">
            <w:pPr>
              <w:rPr>
                <w:rFonts w:cs="Calibri"/>
                <w:color w:val="FFFFFF"/>
                <w:sz w:val="22"/>
                <w:szCs w:val="22"/>
              </w:rPr>
            </w:pPr>
            <w:r w:rsidRPr="00DB5021">
              <w:rPr>
                <w:rFonts w:cs="Calibri"/>
                <w:color w:val="FFFFFF"/>
                <w:sz w:val="22"/>
                <w:szCs w:val="22"/>
              </w:rPr>
              <w:t> </w:t>
            </w:r>
          </w:p>
        </w:tc>
        <w:tc>
          <w:tcPr>
            <w:tcW w:w="960" w:type="dxa"/>
            <w:tcBorders>
              <w:top w:val="single" w:sz="4" w:space="0" w:color="auto"/>
              <w:left w:val="nil"/>
              <w:bottom w:val="nil"/>
              <w:right w:val="single" w:sz="4" w:space="0" w:color="auto"/>
            </w:tcBorders>
            <w:shd w:val="clear" w:color="000000" w:fill="132577"/>
            <w:noWrap/>
            <w:vAlign w:val="bottom"/>
            <w:hideMark/>
          </w:tcPr>
          <w:p w14:paraId="28158E91" w14:textId="77777777" w:rsidR="00DB5021" w:rsidRPr="00DB5021" w:rsidRDefault="00DB5021" w:rsidP="00DB5021">
            <w:pPr>
              <w:rPr>
                <w:rFonts w:cs="Calibri"/>
                <w:color w:val="FFFFFF"/>
                <w:sz w:val="22"/>
                <w:szCs w:val="22"/>
              </w:rPr>
            </w:pPr>
            <w:r w:rsidRPr="00DB5021">
              <w:rPr>
                <w:rFonts w:cs="Calibri"/>
                <w:color w:val="FFFFFF"/>
                <w:sz w:val="22"/>
                <w:szCs w:val="22"/>
              </w:rPr>
              <w:t> </w:t>
            </w:r>
          </w:p>
        </w:tc>
      </w:tr>
      <w:tr w:rsidR="00DB5021" w:rsidRPr="00DB5021" w14:paraId="6F85444A" w14:textId="77777777" w:rsidTr="0010027E">
        <w:trPr>
          <w:trHeight w:val="20"/>
          <w:jc w:val="center"/>
        </w:trPr>
        <w:tc>
          <w:tcPr>
            <w:tcW w:w="1200" w:type="dxa"/>
            <w:tcBorders>
              <w:top w:val="nil"/>
              <w:left w:val="single" w:sz="4" w:space="0" w:color="auto"/>
              <w:bottom w:val="single" w:sz="4" w:space="0" w:color="auto"/>
              <w:right w:val="single" w:sz="4" w:space="0" w:color="FFFFFF"/>
            </w:tcBorders>
            <w:shd w:val="clear" w:color="auto" w:fill="0C2577"/>
            <w:noWrap/>
            <w:vAlign w:val="bottom"/>
            <w:hideMark/>
          </w:tcPr>
          <w:p w14:paraId="68BF116C" w14:textId="77777777" w:rsidR="00DB5021" w:rsidRPr="00DB5021" w:rsidRDefault="00DB5021" w:rsidP="00DB5021">
            <w:pPr>
              <w:jc w:val="center"/>
              <w:rPr>
                <w:rFonts w:cs="Calibri"/>
                <w:b/>
                <w:bCs/>
                <w:color w:val="FFFFFF"/>
                <w:sz w:val="22"/>
                <w:szCs w:val="22"/>
              </w:rPr>
            </w:pPr>
            <w:r w:rsidRPr="00DB5021">
              <w:rPr>
                <w:rFonts w:cs="Calibri"/>
                <w:b/>
                <w:bCs/>
                <w:color w:val="FFFFFF"/>
                <w:sz w:val="22"/>
                <w:szCs w:val="22"/>
              </w:rPr>
              <w:t>Month</w:t>
            </w:r>
          </w:p>
        </w:tc>
        <w:tc>
          <w:tcPr>
            <w:tcW w:w="960" w:type="dxa"/>
            <w:tcBorders>
              <w:top w:val="nil"/>
              <w:left w:val="nil"/>
              <w:bottom w:val="single" w:sz="4" w:space="0" w:color="auto"/>
              <w:right w:val="single" w:sz="4" w:space="0" w:color="FFFFFF"/>
            </w:tcBorders>
            <w:shd w:val="clear" w:color="auto" w:fill="0C2577"/>
            <w:vAlign w:val="bottom"/>
            <w:hideMark/>
          </w:tcPr>
          <w:p w14:paraId="050C5001" w14:textId="77777777" w:rsidR="00DB5021" w:rsidRPr="00DB5021" w:rsidRDefault="00DB5021" w:rsidP="00DB5021">
            <w:pPr>
              <w:jc w:val="center"/>
              <w:rPr>
                <w:rFonts w:cs="Calibri"/>
                <w:b/>
                <w:bCs/>
                <w:color w:val="FFFFFF"/>
                <w:sz w:val="22"/>
                <w:szCs w:val="22"/>
              </w:rPr>
            </w:pPr>
            <w:r w:rsidRPr="00DB5021">
              <w:rPr>
                <w:rFonts w:cs="Calibri"/>
                <w:b/>
                <w:bCs/>
                <w:color w:val="FFFFFF"/>
                <w:sz w:val="22"/>
                <w:szCs w:val="22"/>
              </w:rPr>
              <w:t>Climate Zone</w:t>
            </w:r>
          </w:p>
        </w:tc>
        <w:tc>
          <w:tcPr>
            <w:tcW w:w="975" w:type="dxa"/>
            <w:tcBorders>
              <w:top w:val="nil"/>
              <w:left w:val="nil"/>
              <w:bottom w:val="single" w:sz="4" w:space="0" w:color="auto"/>
              <w:right w:val="single" w:sz="4" w:space="0" w:color="FFFFFF"/>
            </w:tcBorders>
            <w:shd w:val="clear" w:color="auto" w:fill="0C2577"/>
            <w:vAlign w:val="bottom"/>
            <w:hideMark/>
          </w:tcPr>
          <w:p w14:paraId="4465DBD4" w14:textId="77777777" w:rsidR="00DB5021" w:rsidRPr="00DB5021" w:rsidRDefault="00DB5021" w:rsidP="00DB5021">
            <w:pPr>
              <w:jc w:val="center"/>
              <w:rPr>
                <w:rFonts w:cs="Calibri"/>
                <w:b/>
                <w:bCs/>
                <w:color w:val="FFFFFF"/>
                <w:sz w:val="22"/>
                <w:szCs w:val="22"/>
              </w:rPr>
            </w:pPr>
            <w:r w:rsidRPr="00DB5021">
              <w:rPr>
                <w:rFonts w:cs="Calibri"/>
                <w:b/>
                <w:bCs/>
                <w:color w:val="FFFFFF"/>
                <w:sz w:val="22"/>
                <w:szCs w:val="22"/>
              </w:rPr>
              <w:t>Enrolled</w:t>
            </w:r>
          </w:p>
        </w:tc>
        <w:tc>
          <w:tcPr>
            <w:tcW w:w="1076" w:type="dxa"/>
            <w:tcBorders>
              <w:top w:val="single" w:sz="4" w:space="0" w:color="FFFFFF"/>
              <w:left w:val="nil"/>
              <w:bottom w:val="single" w:sz="4" w:space="0" w:color="auto"/>
              <w:right w:val="nil"/>
            </w:tcBorders>
            <w:shd w:val="clear" w:color="auto" w:fill="0C2577"/>
            <w:vAlign w:val="bottom"/>
            <w:hideMark/>
          </w:tcPr>
          <w:p w14:paraId="12AF26F7" w14:textId="77777777" w:rsidR="00DB5021" w:rsidRPr="00DB5021" w:rsidRDefault="00DB5021" w:rsidP="00DB5021">
            <w:pPr>
              <w:jc w:val="center"/>
              <w:rPr>
                <w:rFonts w:cs="Calibri"/>
                <w:b/>
                <w:bCs/>
                <w:color w:val="FFFFFF"/>
                <w:sz w:val="22"/>
                <w:szCs w:val="22"/>
              </w:rPr>
            </w:pPr>
            <w:r w:rsidRPr="00DB5021">
              <w:rPr>
                <w:rFonts w:cs="Calibri"/>
                <w:b/>
                <w:bCs/>
                <w:color w:val="FFFFFF"/>
                <w:sz w:val="22"/>
                <w:szCs w:val="22"/>
              </w:rPr>
              <w:t>Peak Ref. Load (MWh/h)</w:t>
            </w:r>
          </w:p>
        </w:tc>
        <w:tc>
          <w:tcPr>
            <w:tcW w:w="1076" w:type="dxa"/>
            <w:tcBorders>
              <w:top w:val="single" w:sz="4" w:space="0" w:color="FFFFFF"/>
              <w:left w:val="nil"/>
              <w:bottom w:val="single" w:sz="4" w:space="0" w:color="auto"/>
              <w:right w:val="single" w:sz="4" w:space="0" w:color="FFFFFF"/>
            </w:tcBorders>
            <w:shd w:val="clear" w:color="auto" w:fill="0C2577"/>
            <w:vAlign w:val="bottom"/>
            <w:hideMark/>
          </w:tcPr>
          <w:p w14:paraId="64768820" w14:textId="77777777" w:rsidR="00DB5021" w:rsidRPr="00DB5021" w:rsidRDefault="00DB5021" w:rsidP="00DB5021">
            <w:pPr>
              <w:jc w:val="center"/>
              <w:rPr>
                <w:rFonts w:cs="Calibri"/>
                <w:b/>
                <w:bCs/>
                <w:color w:val="FFFFFF"/>
                <w:sz w:val="22"/>
                <w:szCs w:val="22"/>
              </w:rPr>
            </w:pPr>
            <w:r w:rsidRPr="00DB5021">
              <w:rPr>
                <w:rFonts w:cs="Calibri"/>
                <w:b/>
                <w:bCs/>
                <w:color w:val="FFFFFF"/>
                <w:sz w:val="22"/>
                <w:szCs w:val="22"/>
              </w:rPr>
              <w:t>Peak Load Impact (MWh/h)</w:t>
            </w:r>
          </w:p>
        </w:tc>
        <w:tc>
          <w:tcPr>
            <w:tcW w:w="989" w:type="dxa"/>
            <w:tcBorders>
              <w:top w:val="single" w:sz="4" w:space="0" w:color="FFFFFF"/>
              <w:left w:val="nil"/>
              <w:bottom w:val="single" w:sz="4" w:space="0" w:color="auto"/>
              <w:right w:val="nil"/>
            </w:tcBorders>
            <w:shd w:val="clear" w:color="auto" w:fill="0C2577"/>
            <w:vAlign w:val="bottom"/>
            <w:hideMark/>
          </w:tcPr>
          <w:p w14:paraId="32512EE2" w14:textId="77777777" w:rsidR="00DB5021" w:rsidRPr="00DB5021" w:rsidRDefault="00DB5021" w:rsidP="00DB5021">
            <w:pPr>
              <w:jc w:val="center"/>
              <w:rPr>
                <w:rFonts w:cs="Calibri"/>
                <w:b/>
                <w:bCs/>
                <w:color w:val="FFFFFF"/>
                <w:sz w:val="22"/>
                <w:szCs w:val="22"/>
              </w:rPr>
            </w:pPr>
            <w:r w:rsidRPr="00DB5021">
              <w:rPr>
                <w:rFonts w:cs="Calibri"/>
                <w:b/>
                <w:bCs/>
                <w:color w:val="FFFFFF"/>
                <w:sz w:val="22"/>
                <w:szCs w:val="22"/>
              </w:rPr>
              <w:t>Peak Ref. Load (kWh/h)</w:t>
            </w:r>
          </w:p>
        </w:tc>
        <w:tc>
          <w:tcPr>
            <w:tcW w:w="1099" w:type="dxa"/>
            <w:tcBorders>
              <w:top w:val="single" w:sz="4" w:space="0" w:color="FFFFFF"/>
              <w:left w:val="nil"/>
              <w:bottom w:val="single" w:sz="4" w:space="0" w:color="auto"/>
              <w:right w:val="single" w:sz="4" w:space="0" w:color="FFFFFF"/>
            </w:tcBorders>
            <w:shd w:val="clear" w:color="auto" w:fill="0C2577"/>
            <w:vAlign w:val="bottom"/>
            <w:hideMark/>
          </w:tcPr>
          <w:p w14:paraId="6F806638" w14:textId="77777777" w:rsidR="00DB5021" w:rsidRPr="00DB5021" w:rsidRDefault="00DB5021" w:rsidP="00DB5021">
            <w:pPr>
              <w:jc w:val="center"/>
              <w:rPr>
                <w:rFonts w:cs="Calibri"/>
                <w:b/>
                <w:bCs/>
                <w:color w:val="FFFFFF"/>
                <w:sz w:val="22"/>
                <w:szCs w:val="22"/>
              </w:rPr>
            </w:pPr>
            <w:r w:rsidRPr="00DB5021">
              <w:rPr>
                <w:rFonts w:cs="Calibri"/>
                <w:b/>
                <w:bCs/>
                <w:color w:val="FFFFFF"/>
                <w:sz w:val="22"/>
                <w:szCs w:val="22"/>
              </w:rPr>
              <w:t>Peak Load Impact (kWh/h)</w:t>
            </w:r>
          </w:p>
        </w:tc>
        <w:tc>
          <w:tcPr>
            <w:tcW w:w="850" w:type="dxa"/>
            <w:tcBorders>
              <w:top w:val="nil"/>
              <w:left w:val="nil"/>
              <w:bottom w:val="nil"/>
              <w:right w:val="nil"/>
            </w:tcBorders>
            <w:shd w:val="clear" w:color="auto" w:fill="0C2577"/>
            <w:vAlign w:val="bottom"/>
            <w:hideMark/>
          </w:tcPr>
          <w:p w14:paraId="2BDE758B" w14:textId="77777777" w:rsidR="00DB5021" w:rsidRPr="00DB5021" w:rsidRDefault="00DB5021" w:rsidP="00DB5021">
            <w:pPr>
              <w:jc w:val="center"/>
              <w:rPr>
                <w:rFonts w:cs="Calibri"/>
                <w:b/>
                <w:bCs/>
                <w:color w:val="FFFFFF"/>
                <w:sz w:val="22"/>
                <w:szCs w:val="22"/>
              </w:rPr>
            </w:pPr>
            <w:r w:rsidRPr="00DB5021">
              <w:rPr>
                <w:rFonts w:cs="Calibri"/>
                <w:b/>
                <w:bCs/>
                <w:color w:val="FFFFFF"/>
                <w:sz w:val="22"/>
                <w:szCs w:val="22"/>
              </w:rPr>
              <w:t>% Peak Load Impact</w:t>
            </w:r>
          </w:p>
        </w:tc>
        <w:tc>
          <w:tcPr>
            <w:tcW w:w="960" w:type="dxa"/>
            <w:tcBorders>
              <w:top w:val="nil"/>
              <w:left w:val="single" w:sz="4" w:space="0" w:color="FFFFFF"/>
              <w:bottom w:val="single" w:sz="4" w:space="0" w:color="auto"/>
              <w:right w:val="single" w:sz="4" w:space="0" w:color="auto"/>
            </w:tcBorders>
            <w:shd w:val="clear" w:color="auto" w:fill="0C2577"/>
            <w:vAlign w:val="bottom"/>
            <w:hideMark/>
          </w:tcPr>
          <w:p w14:paraId="10503170" w14:textId="77777777" w:rsidR="00DB5021" w:rsidRPr="00DB5021" w:rsidRDefault="00DB5021" w:rsidP="00DB5021">
            <w:pPr>
              <w:jc w:val="center"/>
              <w:rPr>
                <w:rFonts w:cs="Calibri"/>
                <w:b/>
                <w:bCs/>
                <w:color w:val="FFFFFF"/>
                <w:sz w:val="22"/>
                <w:szCs w:val="22"/>
              </w:rPr>
            </w:pPr>
            <w:r w:rsidRPr="00DB5021">
              <w:rPr>
                <w:rFonts w:cs="Calibri"/>
                <w:b/>
                <w:bCs/>
                <w:color w:val="FFFFFF"/>
                <w:sz w:val="22"/>
                <w:szCs w:val="22"/>
              </w:rPr>
              <w:t>Ave. Peak Temp.</w:t>
            </w:r>
          </w:p>
        </w:tc>
      </w:tr>
      <w:tr w:rsidR="00CB118F" w:rsidRPr="00DB5021" w14:paraId="3A047776" w14:textId="77777777" w:rsidTr="001F6415">
        <w:trPr>
          <w:trHeight w:val="20"/>
          <w:jc w:val="center"/>
        </w:trPr>
        <w:tc>
          <w:tcPr>
            <w:tcW w:w="1200" w:type="dxa"/>
            <w:tcBorders>
              <w:top w:val="nil"/>
              <w:left w:val="single" w:sz="4" w:space="0" w:color="auto"/>
              <w:bottom w:val="single" w:sz="4" w:space="0" w:color="auto"/>
              <w:right w:val="nil"/>
            </w:tcBorders>
            <w:shd w:val="clear" w:color="000000" w:fill="FFFFFF"/>
            <w:noWrap/>
            <w:vAlign w:val="bottom"/>
            <w:hideMark/>
          </w:tcPr>
          <w:p w14:paraId="6699CA55" w14:textId="77777777" w:rsidR="00DB5021" w:rsidRPr="00DB5021" w:rsidRDefault="00DB5021" w:rsidP="00DB5021">
            <w:pPr>
              <w:ind w:firstLineChars="100" w:firstLine="220"/>
              <w:jc w:val="right"/>
              <w:rPr>
                <w:rFonts w:cs="Calibri"/>
                <w:sz w:val="22"/>
                <w:szCs w:val="22"/>
              </w:rPr>
            </w:pPr>
            <w:r w:rsidRPr="00DB5021">
              <w:rPr>
                <w:rFonts w:cs="Calibri"/>
                <w:sz w:val="22"/>
                <w:szCs w:val="22"/>
              </w:rPr>
              <w:t>Oct-16</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4F41E09" w14:textId="77777777" w:rsidR="00DB5021" w:rsidRPr="00DB5021" w:rsidRDefault="00DB5021" w:rsidP="00DB5021">
            <w:pPr>
              <w:jc w:val="center"/>
              <w:rPr>
                <w:rFonts w:cs="Calibri"/>
                <w:sz w:val="22"/>
                <w:szCs w:val="22"/>
              </w:rPr>
            </w:pPr>
            <w:r w:rsidRPr="00DB5021">
              <w:rPr>
                <w:rFonts w:cs="Calibri"/>
                <w:sz w:val="22"/>
                <w:szCs w:val="22"/>
              </w:rPr>
              <w:t>All</w:t>
            </w:r>
          </w:p>
        </w:tc>
        <w:tc>
          <w:tcPr>
            <w:tcW w:w="975" w:type="dxa"/>
            <w:tcBorders>
              <w:top w:val="nil"/>
              <w:left w:val="nil"/>
              <w:bottom w:val="single" w:sz="4" w:space="0" w:color="auto"/>
              <w:right w:val="nil"/>
            </w:tcBorders>
            <w:shd w:val="clear" w:color="000000" w:fill="FFFFFF"/>
            <w:noWrap/>
            <w:vAlign w:val="bottom"/>
            <w:hideMark/>
          </w:tcPr>
          <w:p w14:paraId="1430FC1D" w14:textId="77777777" w:rsidR="00DB5021" w:rsidRPr="00DB5021" w:rsidRDefault="00DB5021" w:rsidP="00313EEB">
            <w:pPr>
              <w:ind w:firstLineChars="100" w:firstLine="220"/>
              <w:jc w:val="right"/>
              <w:rPr>
                <w:rFonts w:cs="Calibri"/>
                <w:sz w:val="22"/>
                <w:szCs w:val="22"/>
              </w:rPr>
            </w:pPr>
            <w:r w:rsidRPr="00DB5021">
              <w:rPr>
                <w:rFonts w:cs="Calibri"/>
                <w:sz w:val="22"/>
                <w:szCs w:val="22"/>
              </w:rPr>
              <w:t>653</w:t>
            </w:r>
          </w:p>
        </w:tc>
        <w:tc>
          <w:tcPr>
            <w:tcW w:w="1076" w:type="dxa"/>
            <w:tcBorders>
              <w:top w:val="nil"/>
              <w:left w:val="single" w:sz="4" w:space="0" w:color="auto"/>
              <w:bottom w:val="single" w:sz="4" w:space="0" w:color="auto"/>
              <w:right w:val="nil"/>
            </w:tcBorders>
            <w:shd w:val="clear" w:color="000000" w:fill="FFFFFF"/>
            <w:noWrap/>
            <w:vAlign w:val="bottom"/>
            <w:hideMark/>
          </w:tcPr>
          <w:p w14:paraId="3644AAE5"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0.47</w:t>
            </w:r>
          </w:p>
        </w:tc>
        <w:tc>
          <w:tcPr>
            <w:tcW w:w="1076" w:type="dxa"/>
            <w:tcBorders>
              <w:top w:val="nil"/>
              <w:left w:val="nil"/>
              <w:bottom w:val="single" w:sz="4" w:space="0" w:color="auto"/>
              <w:right w:val="single" w:sz="4" w:space="0" w:color="auto"/>
            </w:tcBorders>
            <w:shd w:val="clear" w:color="000000" w:fill="FFFFFF"/>
            <w:noWrap/>
            <w:vAlign w:val="bottom"/>
            <w:hideMark/>
          </w:tcPr>
          <w:p w14:paraId="035CDC2D"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0.03</w:t>
            </w:r>
          </w:p>
        </w:tc>
        <w:tc>
          <w:tcPr>
            <w:tcW w:w="989" w:type="dxa"/>
            <w:tcBorders>
              <w:top w:val="nil"/>
              <w:left w:val="nil"/>
              <w:bottom w:val="single" w:sz="4" w:space="0" w:color="auto"/>
              <w:right w:val="nil"/>
            </w:tcBorders>
            <w:shd w:val="clear" w:color="000000" w:fill="FFFFFF"/>
            <w:noWrap/>
            <w:vAlign w:val="bottom"/>
            <w:hideMark/>
          </w:tcPr>
          <w:p w14:paraId="1C775AAE"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0.71</w:t>
            </w:r>
          </w:p>
        </w:tc>
        <w:tc>
          <w:tcPr>
            <w:tcW w:w="1099" w:type="dxa"/>
            <w:tcBorders>
              <w:top w:val="nil"/>
              <w:left w:val="nil"/>
              <w:bottom w:val="single" w:sz="4" w:space="0" w:color="auto"/>
              <w:right w:val="nil"/>
            </w:tcBorders>
            <w:shd w:val="clear" w:color="000000" w:fill="FFFFFF"/>
            <w:noWrap/>
            <w:vAlign w:val="bottom"/>
            <w:hideMark/>
          </w:tcPr>
          <w:p w14:paraId="29DE7EC2"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0.042</w:t>
            </w:r>
          </w:p>
        </w:tc>
        <w:tc>
          <w:tcPr>
            <w:tcW w:w="85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7B19F22" w14:textId="77777777" w:rsidR="00DB5021" w:rsidRPr="00DB5021" w:rsidRDefault="00DB5021" w:rsidP="00DB5021">
            <w:pPr>
              <w:jc w:val="center"/>
              <w:rPr>
                <w:rFonts w:cs="Calibri"/>
                <w:sz w:val="22"/>
                <w:szCs w:val="22"/>
              </w:rPr>
            </w:pPr>
            <w:r w:rsidRPr="00DB5021">
              <w:rPr>
                <w:rFonts w:cs="Calibri"/>
                <w:sz w:val="22"/>
                <w:szCs w:val="22"/>
              </w:rPr>
              <w:t>6.0%</w:t>
            </w:r>
          </w:p>
        </w:tc>
        <w:tc>
          <w:tcPr>
            <w:tcW w:w="960" w:type="dxa"/>
            <w:tcBorders>
              <w:top w:val="nil"/>
              <w:left w:val="nil"/>
              <w:bottom w:val="single" w:sz="4" w:space="0" w:color="auto"/>
              <w:right w:val="single" w:sz="4" w:space="0" w:color="auto"/>
            </w:tcBorders>
            <w:shd w:val="clear" w:color="000000" w:fill="FFFFFF"/>
            <w:noWrap/>
            <w:vAlign w:val="bottom"/>
            <w:hideMark/>
          </w:tcPr>
          <w:p w14:paraId="5432C034" w14:textId="77777777" w:rsidR="00DB5021" w:rsidRPr="00DB5021" w:rsidRDefault="00DB5021" w:rsidP="00DB5021">
            <w:pPr>
              <w:jc w:val="center"/>
              <w:rPr>
                <w:rFonts w:cs="Calibri"/>
                <w:sz w:val="22"/>
                <w:szCs w:val="22"/>
              </w:rPr>
            </w:pPr>
            <w:r w:rsidRPr="00DB5021">
              <w:rPr>
                <w:rFonts w:cs="Calibri"/>
                <w:sz w:val="22"/>
                <w:szCs w:val="22"/>
              </w:rPr>
              <w:t>76</w:t>
            </w:r>
          </w:p>
        </w:tc>
      </w:tr>
      <w:tr w:rsidR="00CB118F" w:rsidRPr="00DB5021" w14:paraId="09CDC22B" w14:textId="77777777" w:rsidTr="001F6415">
        <w:trPr>
          <w:trHeight w:val="20"/>
          <w:jc w:val="center"/>
        </w:trPr>
        <w:tc>
          <w:tcPr>
            <w:tcW w:w="1200" w:type="dxa"/>
            <w:tcBorders>
              <w:top w:val="nil"/>
              <w:left w:val="single" w:sz="4" w:space="0" w:color="auto"/>
              <w:bottom w:val="nil"/>
              <w:right w:val="nil"/>
            </w:tcBorders>
            <w:shd w:val="clear" w:color="000000" w:fill="D9E1F2"/>
            <w:noWrap/>
            <w:vAlign w:val="bottom"/>
            <w:hideMark/>
          </w:tcPr>
          <w:p w14:paraId="5867CB46" w14:textId="77777777" w:rsidR="00DB5021" w:rsidRPr="00DB5021" w:rsidRDefault="00DB5021" w:rsidP="00DB5021">
            <w:pPr>
              <w:ind w:firstLineChars="100" w:firstLine="220"/>
              <w:jc w:val="right"/>
              <w:rPr>
                <w:rFonts w:cs="Calibri"/>
                <w:sz w:val="22"/>
                <w:szCs w:val="22"/>
              </w:rPr>
            </w:pPr>
            <w:r w:rsidRPr="00DB5021">
              <w:rPr>
                <w:rFonts w:cs="Calibri"/>
                <w:sz w:val="22"/>
                <w:szCs w:val="22"/>
              </w:rPr>
              <w:t>Nov-16</w:t>
            </w:r>
          </w:p>
        </w:tc>
        <w:tc>
          <w:tcPr>
            <w:tcW w:w="960" w:type="dxa"/>
            <w:tcBorders>
              <w:top w:val="nil"/>
              <w:left w:val="single" w:sz="4" w:space="0" w:color="auto"/>
              <w:bottom w:val="nil"/>
              <w:right w:val="single" w:sz="4" w:space="0" w:color="auto"/>
            </w:tcBorders>
            <w:shd w:val="clear" w:color="000000" w:fill="D9E1F2"/>
            <w:noWrap/>
            <w:vAlign w:val="bottom"/>
            <w:hideMark/>
          </w:tcPr>
          <w:p w14:paraId="20EE1B5E" w14:textId="77777777" w:rsidR="00DB5021" w:rsidRPr="00DB5021" w:rsidRDefault="00DB5021" w:rsidP="00DB5021">
            <w:pPr>
              <w:jc w:val="center"/>
              <w:rPr>
                <w:rFonts w:cs="Calibri"/>
                <w:sz w:val="22"/>
                <w:szCs w:val="22"/>
              </w:rPr>
            </w:pPr>
            <w:r w:rsidRPr="00DB5021">
              <w:rPr>
                <w:rFonts w:cs="Calibri"/>
                <w:sz w:val="22"/>
                <w:szCs w:val="22"/>
              </w:rPr>
              <w:t>All</w:t>
            </w:r>
          </w:p>
        </w:tc>
        <w:tc>
          <w:tcPr>
            <w:tcW w:w="975" w:type="dxa"/>
            <w:tcBorders>
              <w:top w:val="nil"/>
              <w:left w:val="nil"/>
              <w:bottom w:val="nil"/>
              <w:right w:val="nil"/>
            </w:tcBorders>
            <w:shd w:val="clear" w:color="000000" w:fill="D9E1F2"/>
            <w:noWrap/>
            <w:vAlign w:val="bottom"/>
            <w:hideMark/>
          </w:tcPr>
          <w:p w14:paraId="699C9DF1" w14:textId="77777777" w:rsidR="00DB5021" w:rsidRPr="00DB5021" w:rsidRDefault="00DB5021" w:rsidP="00313EEB">
            <w:pPr>
              <w:ind w:firstLineChars="100" w:firstLine="220"/>
              <w:jc w:val="right"/>
              <w:rPr>
                <w:rFonts w:cs="Calibri"/>
                <w:sz w:val="22"/>
                <w:szCs w:val="22"/>
              </w:rPr>
            </w:pPr>
            <w:r w:rsidRPr="00DB5021">
              <w:rPr>
                <w:rFonts w:cs="Calibri"/>
                <w:sz w:val="22"/>
                <w:szCs w:val="22"/>
              </w:rPr>
              <w:t>689</w:t>
            </w:r>
          </w:p>
        </w:tc>
        <w:tc>
          <w:tcPr>
            <w:tcW w:w="1076" w:type="dxa"/>
            <w:tcBorders>
              <w:top w:val="nil"/>
              <w:left w:val="single" w:sz="4" w:space="0" w:color="auto"/>
              <w:bottom w:val="nil"/>
              <w:right w:val="nil"/>
            </w:tcBorders>
            <w:shd w:val="clear" w:color="000000" w:fill="D9E1F2"/>
            <w:noWrap/>
            <w:vAlign w:val="bottom"/>
            <w:hideMark/>
          </w:tcPr>
          <w:p w14:paraId="38641A9E"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0.71</w:t>
            </w:r>
          </w:p>
        </w:tc>
        <w:tc>
          <w:tcPr>
            <w:tcW w:w="1076" w:type="dxa"/>
            <w:tcBorders>
              <w:top w:val="nil"/>
              <w:left w:val="nil"/>
              <w:bottom w:val="nil"/>
              <w:right w:val="single" w:sz="4" w:space="0" w:color="auto"/>
            </w:tcBorders>
            <w:shd w:val="clear" w:color="000000" w:fill="D9E1F2"/>
            <w:noWrap/>
            <w:vAlign w:val="bottom"/>
            <w:hideMark/>
          </w:tcPr>
          <w:p w14:paraId="735DE0BC"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-0.02</w:t>
            </w:r>
          </w:p>
        </w:tc>
        <w:tc>
          <w:tcPr>
            <w:tcW w:w="989" w:type="dxa"/>
            <w:tcBorders>
              <w:top w:val="nil"/>
              <w:left w:val="nil"/>
              <w:bottom w:val="nil"/>
              <w:right w:val="nil"/>
            </w:tcBorders>
            <w:shd w:val="clear" w:color="000000" w:fill="D9E1F2"/>
            <w:noWrap/>
            <w:vAlign w:val="bottom"/>
            <w:hideMark/>
          </w:tcPr>
          <w:p w14:paraId="7383751E" w14:textId="77777777" w:rsidR="00DB5021" w:rsidRPr="00DB5021" w:rsidRDefault="00DB5021" w:rsidP="00DB5021">
            <w:pPr>
              <w:ind w:firstLineChars="100" w:firstLine="220"/>
              <w:jc w:val="center"/>
              <w:rPr>
                <w:rFonts w:cs="Calibri"/>
                <w:sz w:val="22"/>
                <w:szCs w:val="22"/>
              </w:rPr>
            </w:pPr>
            <w:r w:rsidRPr="00DB5021">
              <w:rPr>
                <w:rFonts w:cs="Calibri"/>
                <w:sz w:val="22"/>
                <w:szCs w:val="22"/>
              </w:rPr>
              <w:t>1.03</w:t>
            </w:r>
          </w:p>
        </w:tc>
        <w:tc>
          <w:tcPr>
            <w:tcW w:w="1099" w:type="dxa"/>
            <w:tcBorders>
              <w:top w:val="nil"/>
              <w:left w:val="nil"/>
              <w:bottom w:val="nil"/>
              <w:right w:val="nil"/>
            </w:tcBorders>
            <w:shd w:val="clear" w:color="000000" w:fill="D9E1F2"/>
            <w:noWrap/>
            <w:vAlign w:val="bottom"/>
            <w:hideMark/>
          </w:tcPr>
          <w:p w14:paraId="15310499"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-0.031</w:t>
            </w:r>
          </w:p>
        </w:tc>
        <w:tc>
          <w:tcPr>
            <w:tcW w:w="850" w:type="dxa"/>
            <w:tcBorders>
              <w:top w:val="nil"/>
              <w:left w:val="single" w:sz="4" w:space="0" w:color="auto"/>
              <w:bottom w:val="nil"/>
              <w:right w:val="single" w:sz="4" w:space="0" w:color="auto"/>
            </w:tcBorders>
            <w:shd w:val="clear" w:color="000000" w:fill="D9E1F2"/>
            <w:noWrap/>
            <w:vAlign w:val="bottom"/>
            <w:hideMark/>
          </w:tcPr>
          <w:p w14:paraId="148A2F6F" w14:textId="77777777" w:rsidR="00DB5021" w:rsidRPr="00DB5021" w:rsidRDefault="00DB5021" w:rsidP="00DB5021">
            <w:pPr>
              <w:jc w:val="center"/>
              <w:rPr>
                <w:rFonts w:cs="Calibri"/>
                <w:sz w:val="22"/>
                <w:szCs w:val="22"/>
              </w:rPr>
            </w:pPr>
            <w:r w:rsidRPr="00DB5021">
              <w:rPr>
                <w:rFonts w:cs="Calibri"/>
                <w:sz w:val="22"/>
                <w:szCs w:val="22"/>
              </w:rPr>
              <w:t>-3.0%</w:t>
            </w:r>
          </w:p>
        </w:tc>
        <w:tc>
          <w:tcPr>
            <w:tcW w:w="960" w:type="dxa"/>
            <w:tcBorders>
              <w:top w:val="nil"/>
              <w:left w:val="nil"/>
              <w:bottom w:val="nil"/>
              <w:right w:val="single" w:sz="4" w:space="0" w:color="auto"/>
            </w:tcBorders>
            <w:shd w:val="clear" w:color="000000" w:fill="D9E1F2"/>
            <w:noWrap/>
            <w:vAlign w:val="bottom"/>
            <w:hideMark/>
          </w:tcPr>
          <w:p w14:paraId="144A849A" w14:textId="77777777" w:rsidR="00DB5021" w:rsidRPr="00DB5021" w:rsidRDefault="00DB5021" w:rsidP="00DB5021">
            <w:pPr>
              <w:jc w:val="center"/>
              <w:rPr>
                <w:rFonts w:cs="Calibri"/>
                <w:sz w:val="22"/>
                <w:szCs w:val="22"/>
              </w:rPr>
            </w:pPr>
            <w:r w:rsidRPr="00DB5021">
              <w:rPr>
                <w:rFonts w:cs="Calibri"/>
                <w:sz w:val="22"/>
                <w:szCs w:val="22"/>
              </w:rPr>
              <w:t>65</w:t>
            </w:r>
          </w:p>
        </w:tc>
      </w:tr>
      <w:tr w:rsidR="00CB118F" w:rsidRPr="00DB5021" w14:paraId="3E23F2E8" w14:textId="77777777" w:rsidTr="001F6415">
        <w:trPr>
          <w:trHeight w:val="20"/>
          <w:jc w:val="center"/>
        </w:trPr>
        <w:tc>
          <w:tcPr>
            <w:tcW w:w="1200" w:type="dxa"/>
            <w:tcBorders>
              <w:top w:val="nil"/>
              <w:left w:val="single" w:sz="4" w:space="0" w:color="auto"/>
              <w:bottom w:val="nil"/>
              <w:right w:val="nil"/>
            </w:tcBorders>
            <w:shd w:val="clear" w:color="000000" w:fill="D9E1F2"/>
            <w:noWrap/>
            <w:vAlign w:val="bottom"/>
            <w:hideMark/>
          </w:tcPr>
          <w:p w14:paraId="359EA445" w14:textId="77777777" w:rsidR="00DB5021" w:rsidRPr="00DB5021" w:rsidRDefault="00DB5021" w:rsidP="00DB5021">
            <w:pPr>
              <w:ind w:firstLineChars="100" w:firstLine="220"/>
              <w:jc w:val="right"/>
              <w:rPr>
                <w:rFonts w:cs="Calibri"/>
                <w:sz w:val="22"/>
                <w:szCs w:val="22"/>
              </w:rPr>
            </w:pPr>
            <w:r w:rsidRPr="00DB5021">
              <w:rPr>
                <w:rFonts w:cs="Calibri"/>
                <w:sz w:val="22"/>
                <w:szCs w:val="22"/>
              </w:rPr>
              <w:t>Dec-16</w:t>
            </w:r>
          </w:p>
        </w:tc>
        <w:tc>
          <w:tcPr>
            <w:tcW w:w="960" w:type="dxa"/>
            <w:tcBorders>
              <w:top w:val="nil"/>
              <w:left w:val="single" w:sz="4" w:space="0" w:color="auto"/>
              <w:bottom w:val="nil"/>
              <w:right w:val="single" w:sz="4" w:space="0" w:color="auto"/>
            </w:tcBorders>
            <w:shd w:val="clear" w:color="000000" w:fill="D9E1F2"/>
            <w:noWrap/>
            <w:vAlign w:val="bottom"/>
            <w:hideMark/>
          </w:tcPr>
          <w:p w14:paraId="2210AAD5" w14:textId="77777777" w:rsidR="00DB5021" w:rsidRPr="00DB5021" w:rsidRDefault="00DB5021" w:rsidP="00DB5021">
            <w:pPr>
              <w:jc w:val="center"/>
              <w:rPr>
                <w:rFonts w:cs="Calibri"/>
                <w:sz w:val="22"/>
                <w:szCs w:val="22"/>
              </w:rPr>
            </w:pPr>
            <w:r w:rsidRPr="00DB5021">
              <w:rPr>
                <w:rFonts w:cs="Calibri"/>
                <w:sz w:val="22"/>
                <w:szCs w:val="22"/>
              </w:rPr>
              <w:t>All</w:t>
            </w:r>
          </w:p>
        </w:tc>
        <w:tc>
          <w:tcPr>
            <w:tcW w:w="975" w:type="dxa"/>
            <w:tcBorders>
              <w:top w:val="nil"/>
              <w:left w:val="nil"/>
              <w:bottom w:val="nil"/>
              <w:right w:val="nil"/>
            </w:tcBorders>
            <w:shd w:val="clear" w:color="000000" w:fill="D9E1F2"/>
            <w:noWrap/>
            <w:vAlign w:val="bottom"/>
            <w:hideMark/>
          </w:tcPr>
          <w:p w14:paraId="747676F5" w14:textId="77777777" w:rsidR="00DB5021" w:rsidRPr="00DB5021" w:rsidRDefault="00DB5021" w:rsidP="00313EEB">
            <w:pPr>
              <w:ind w:firstLineChars="100" w:firstLine="220"/>
              <w:jc w:val="right"/>
              <w:rPr>
                <w:rFonts w:cs="Calibri"/>
                <w:sz w:val="22"/>
                <w:szCs w:val="22"/>
              </w:rPr>
            </w:pPr>
            <w:r w:rsidRPr="00DB5021">
              <w:rPr>
                <w:rFonts w:cs="Calibri"/>
                <w:sz w:val="22"/>
                <w:szCs w:val="22"/>
              </w:rPr>
              <w:t>726</w:t>
            </w:r>
          </w:p>
        </w:tc>
        <w:tc>
          <w:tcPr>
            <w:tcW w:w="1076" w:type="dxa"/>
            <w:tcBorders>
              <w:top w:val="nil"/>
              <w:left w:val="single" w:sz="4" w:space="0" w:color="auto"/>
              <w:bottom w:val="nil"/>
              <w:right w:val="nil"/>
            </w:tcBorders>
            <w:shd w:val="clear" w:color="000000" w:fill="D9E1F2"/>
            <w:noWrap/>
            <w:vAlign w:val="bottom"/>
            <w:hideMark/>
          </w:tcPr>
          <w:p w14:paraId="7FBE7D13"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0.88</w:t>
            </w:r>
          </w:p>
        </w:tc>
        <w:tc>
          <w:tcPr>
            <w:tcW w:w="1076" w:type="dxa"/>
            <w:tcBorders>
              <w:top w:val="nil"/>
              <w:left w:val="nil"/>
              <w:bottom w:val="nil"/>
              <w:right w:val="single" w:sz="4" w:space="0" w:color="auto"/>
            </w:tcBorders>
            <w:shd w:val="clear" w:color="000000" w:fill="D9E1F2"/>
            <w:noWrap/>
            <w:vAlign w:val="bottom"/>
            <w:hideMark/>
          </w:tcPr>
          <w:p w14:paraId="49D14DA5"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-0.03</w:t>
            </w:r>
          </w:p>
        </w:tc>
        <w:tc>
          <w:tcPr>
            <w:tcW w:w="989" w:type="dxa"/>
            <w:tcBorders>
              <w:top w:val="nil"/>
              <w:left w:val="nil"/>
              <w:bottom w:val="nil"/>
              <w:right w:val="nil"/>
            </w:tcBorders>
            <w:shd w:val="clear" w:color="000000" w:fill="D9E1F2"/>
            <w:noWrap/>
            <w:vAlign w:val="bottom"/>
            <w:hideMark/>
          </w:tcPr>
          <w:p w14:paraId="7D9C83A3" w14:textId="77777777" w:rsidR="00DB5021" w:rsidRPr="00DB5021" w:rsidRDefault="00DB5021" w:rsidP="00DB5021">
            <w:pPr>
              <w:ind w:firstLineChars="100" w:firstLine="220"/>
              <w:jc w:val="center"/>
              <w:rPr>
                <w:rFonts w:cs="Calibri"/>
                <w:sz w:val="22"/>
                <w:szCs w:val="22"/>
              </w:rPr>
            </w:pPr>
            <w:r w:rsidRPr="00DB5021">
              <w:rPr>
                <w:rFonts w:cs="Calibri"/>
                <w:sz w:val="22"/>
                <w:szCs w:val="22"/>
              </w:rPr>
              <w:t>1.21</w:t>
            </w:r>
          </w:p>
        </w:tc>
        <w:tc>
          <w:tcPr>
            <w:tcW w:w="1099" w:type="dxa"/>
            <w:tcBorders>
              <w:top w:val="nil"/>
              <w:left w:val="nil"/>
              <w:bottom w:val="nil"/>
              <w:right w:val="nil"/>
            </w:tcBorders>
            <w:shd w:val="clear" w:color="000000" w:fill="D9E1F2"/>
            <w:noWrap/>
            <w:vAlign w:val="bottom"/>
            <w:hideMark/>
          </w:tcPr>
          <w:p w14:paraId="7872F61A"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-0.037</w:t>
            </w:r>
          </w:p>
        </w:tc>
        <w:tc>
          <w:tcPr>
            <w:tcW w:w="850" w:type="dxa"/>
            <w:tcBorders>
              <w:top w:val="nil"/>
              <w:left w:val="single" w:sz="4" w:space="0" w:color="auto"/>
              <w:bottom w:val="nil"/>
              <w:right w:val="single" w:sz="4" w:space="0" w:color="auto"/>
            </w:tcBorders>
            <w:shd w:val="clear" w:color="000000" w:fill="D9E1F2"/>
            <w:noWrap/>
            <w:vAlign w:val="bottom"/>
            <w:hideMark/>
          </w:tcPr>
          <w:p w14:paraId="6D58473E" w14:textId="77777777" w:rsidR="00DB5021" w:rsidRPr="00DB5021" w:rsidRDefault="00DB5021" w:rsidP="00DB5021">
            <w:pPr>
              <w:jc w:val="center"/>
              <w:rPr>
                <w:rFonts w:cs="Calibri"/>
                <w:sz w:val="22"/>
                <w:szCs w:val="22"/>
              </w:rPr>
            </w:pPr>
            <w:r w:rsidRPr="00DB5021">
              <w:rPr>
                <w:rFonts w:cs="Calibri"/>
                <w:sz w:val="22"/>
                <w:szCs w:val="22"/>
              </w:rPr>
              <w:t>-3.0%</w:t>
            </w:r>
          </w:p>
        </w:tc>
        <w:tc>
          <w:tcPr>
            <w:tcW w:w="960" w:type="dxa"/>
            <w:tcBorders>
              <w:top w:val="nil"/>
              <w:left w:val="nil"/>
              <w:bottom w:val="nil"/>
              <w:right w:val="single" w:sz="4" w:space="0" w:color="auto"/>
            </w:tcBorders>
            <w:shd w:val="clear" w:color="000000" w:fill="D9E1F2"/>
            <w:noWrap/>
            <w:vAlign w:val="bottom"/>
            <w:hideMark/>
          </w:tcPr>
          <w:p w14:paraId="6EB202D7" w14:textId="77777777" w:rsidR="00DB5021" w:rsidRPr="00DB5021" w:rsidRDefault="00DB5021" w:rsidP="00DB5021">
            <w:pPr>
              <w:jc w:val="center"/>
              <w:rPr>
                <w:rFonts w:cs="Calibri"/>
                <w:sz w:val="22"/>
                <w:szCs w:val="22"/>
              </w:rPr>
            </w:pPr>
            <w:r w:rsidRPr="00DB5021">
              <w:rPr>
                <w:rFonts w:cs="Calibri"/>
                <w:sz w:val="22"/>
                <w:szCs w:val="22"/>
              </w:rPr>
              <w:t>59</w:t>
            </w:r>
          </w:p>
        </w:tc>
      </w:tr>
      <w:tr w:rsidR="00CB118F" w:rsidRPr="00DB5021" w14:paraId="28D5FEEB" w14:textId="77777777" w:rsidTr="001F6415">
        <w:trPr>
          <w:trHeight w:val="20"/>
          <w:jc w:val="center"/>
        </w:trPr>
        <w:tc>
          <w:tcPr>
            <w:tcW w:w="1200" w:type="dxa"/>
            <w:tcBorders>
              <w:top w:val="nil"/>
              <w:left w:val="single" w:sz="4" w:space="0" w:color="auto"/>
              <w:bottom w:val="nil"/>
              <w:right w:val="nil"/>
            </w:tcBorders>
            <w:shd w:val="clear" w:color="000000" w:fill="D9E1F2"/>
            <w:noWrap/>
            <w:vAlign w:val="bottom"/>
            <w:hideMark/>
          </w:tcPr>
          <w:p w14:paraId="042A916A" w14:textId="77777777" w:rsidR="00DB5021" w:rsidRPr="00DB5021" w:rsidRDefault="00DB5021" w:rsidP="00DB5021">
            <w:pPr>
              <w:ind w:firstLineChars="100" w:firstLine="220"/>
              <w:jc w:val="right"/>
              <w:rPr>
                <w:rFonts w:cs="Calibri"/>
                <w:sz w:val="22"/>
                <w:szCs w:val="22"/>
              </w:rPr>
            </w:pPr>
            <w:r w:rsidRPr="00DB5021">
              <w:rPr>
                <w:rFonts w:cs="Calibri"/>
                <w:sz w:val="22"/>
                <w:szCs w:val="22"/>
              </w:rPr>
              <w:t>Jan-17</w:t>
            </w:r>
          </w:p>
        </w:tc>
        <w:tc>
          <w:tcPr>
            <w:tcW w:w="960" w:type="dxa"/>
            <w:tcBorders>
              <w:top w:val="nil"/>
              <w:left w:val="single" w:sz="4" w:space="0" w:color="auto"/>
              <w:bottom w:val="nil"/>
              <w:right w:val="single" w:sz="4" w:space="0" w:color="auto"/>
            </w:tcBorders>
            <w:shd w:val="clear" w:color="000000" w:fill="D9E1F2"/>
            <w:noWrap/>
            <w:vAlign w:val="bottom"/>
            <w:hideMark/>
          </w:tcPr>
          <w:p w14:paraId="70194EE5" w14:textId="77777777" w:rsidR="00DB5021" w:rsidRPr="00DB5021" w:rsidRDefault="00DB5021" w:rsidP="00DB5021">
            <w:pPr>
              <w:jc w:val="center"/>
              <w:rPr>
                <w:rFonts w:cs="Calibri"/>
                <w:sz w:val="22"/>
                <w:szCs w:val="22"/>
              </w:rPr>
            </w:pPr>
            <w:r w:rsidRPr="00DB5021">
              <w:rPr>
                <w:rFonts w:cs="Calibri"/>
                <w:sz w:val="22"/>
                <w:szCs w:val="22"/>
              </w:rPr>
              <w:t>All</w:t>
            </w:r>
          </w:p>
        </w:tc>
        <w:tc>
          <w:tcPr>
            <w:tcW w:w="975" w:type="dxa"/>
            <w:tcBorders>
              <w:top w:val="nil"/>
              <w:left w:val="nil"/>
              <w:bottom w:val="nil"/>
              <w:right w:val="nil"/>
            </w:tcBorders>
            <w:shd w:val="clear" w:color="000000" w:fill="D9E1F2"/>
            <w:noWrap/>
            <w:vAlign w:val="bottom"/>
            <w:hideMark/>
          </w:tcPr>
          <w:p w14:paraId="15F49AA9" w14:textId="77777777" w:rsidR="00DB5021" w:rsidRPr="00DB5021" w:rsidRDefault="00DB5021" w:rsidP="00313EEB">
            <w:pPr>
              <w:ind w:firstLineChars="100" w:firstLine="220"/>
              <w:jc w:val="right"/>
              <w:rPr>
                <w:rFonts w:cs="Calibri"/>
                <w:sz w:val="22"/>
                <w:szCs w:val="22"/>
              </w:rPr>
            </w:pPr>
            <w:r w:rsidRPr="00DB5021">
              <w:rPr>
                <w:rFonts w:cs="Calibri"/>
                <w:sz w:val="22"/>
                <w:szCs w:val="22"/>
              </w:rPr>
              <w:t>755</w:t>
            </w:r>
          </w:p>
        </w:tc>
        <w:tc>
          <w:tcPr>
            <w:tcW w:w="1076" w:type="dxa"/>
            <w:tcBorders>
              <w:top w:val="nil"/>
              <w:left w:val="single" w:sz="4" w:space="0" w:color="auto"/>
              <w:bottom w:val="nil"/>
              <w:right w:val="nil"/>
            </w:tcBorders>
            <w:shd w:val="clear" w:color="000000" w:fill="D9E1F2"/>
            <w:noWrap/>
            <w:vAlign w:val="bottom"/>
            <w:hideMark/>
          </w:tcPr>
          <w:p w14:paraId="63DDF56C"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0.88</w:t>
            </w:r>
          </w:p>
        </w:tc>
        <w:tc>
          <w:tcPr>
            <w:tcW w:w="1076" w:type="dxa"/>
            <w:tcBorders>
              <w:top w:val="nil"/>
              <w:left w:val="nil"/>
              <w:bottom w:val="nil"/>
              <w:right w:val="single" w:sz="4" w:space="0" w:color="auto"/>
            </w:tcBorders>
            <w:shd w:val="clear" w:color="000000" w:fill="D9E1F2"/>
            <w:noWrap/>
            <w:vAlign w:val="bottom"/>
            <w:hideMark/>
          </w:tcPr>
          <w:p w14:paraId="551D1AA2"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-0.03</w:t>
            </w:r>
          </w:p>
        </w:tc>
        <w:tc>
          <w:tcPr>
            <w:tcW w:w="989" w:type="dxa"/>
            <w:tcBorders>
              <w:top w:val="nil"/>
              <w:left w:val="nil"/>
              <w:bottom w:val="nil"/>
              <w:right w:val="nil"/>
            </w:tcBorders>
            <w:shd w:val="clear" w:color="000000" w:fill="D9E1F2"/>
            <w:noWrap/>
            <w:vAlign w:val="bottom"/>
            <w:hideMark/>
          </w:tcPr>
          <w:p w14:paraId="58938FFE" w14:textId="77777777" w:rsidR="00DB5021" w:rsidRPr="00DB5021" w:rsidRDefault="00DB5021" w:rsidP="00DB5021">
            <w:pPr>
              <w:ind w:firstLineChars="100" w:firstLine="220"/>
              <w:jc w:val="center"/>
              <w:rPr>
                <w:rFonts w:cs="Calibri"/>
                <w:sz w:val="22"/>
                <w:szCs w:val="22"/>
              </w:rPr>
            </w:pPr>
            <w:r w:rsidRPr="00DB5021">
              <w:rPr>
                <w:rFonts w:cs="Calibri"/>
                <w:sz w:val="22"/>
                <w:szCs w:val="22"/>
              </w:rPr>
              <w:t>1.16</w:t>
            </w:r>
          </w:p>
        </w:tc>
        <w:tc>
          <w:tcPr>
            <w:tcW w:w="1099" w:type="dxa"/>
            <w:tcBorders>
              <w:top w:val="nil"/>
              <w:left w:val="nil"/>
              <w:bottom w:val="nil"/>
              <w:right w:val="nil"/>
            </w:tcBorders>
            <w:shd w:val="clear" w:color="000000" w:fill="D9E1F2"/>
            <w:noWrap/>
            <w:vAlign w:val="bottom"/>
            <w:hideMark/>
          </w:tcPr>
          <w:p w14:paraId="3007E6A1"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-0.035</w:t>
            </w:r>
          </w:p>
        </w:tc>
        <w:tc>
          <w:tcPr>
            <w:tcW w:w="850" w:type="dxa"/>
            <w:tcBorders>
              <w:top w:val="nil"/>
              <w:left w:val="single" w:sz="4" w:space="0" w:color="auto"/>
              <w:bottom w:val="nil"/>
              <w:right w:val="single" w:sz="4" w:space="0" w:color="auto"/>
            </w:tcBorders>
            <w:shd w:val="clear" w:color="000000" w:fill="D9E1F2"/>
            <w:noWrap/>
            <w:vAlign w:val="bottom"/>
            <w:hideMark/>
          </w:tcPr>
          <w:p w14:paraId="3A2782C9" w14:textId="77777777" w:rsidR="00DB5021" w:rsidRPr="00DB5021" w:rsidRDefault="00DB5021" w:rsidP="00DB5021">
            <w:pPr>
              <w:jc w:val="center"/>
              <w:rPr>
                <w:rFonts w:cs="Calibri"/>
                <w:sz w:val="22"/>
                <w:szCs w:val="22"/>
              </w:rPr>
            </w:pPr>
            <w:r w:rsidRPr="00DB5021">
              <w:rPr>
                <w:rFonts w:cs="Calibri"/>
                <w:sz w:val="22"/>
                <w:szCs w:val="22"/>
              </w:rPr>
              <w:t>-3.0%</w:t>
            </w:r>
          </w:p>
        </w:tc>
        <w:tc>
          <w:tcPr>
            <w:tcW w:w="960" w:type="dxa"/>
            <w:tcBorders>
              <w:top w:val="nil"/>
              <w:left w:val="nil"/>
              <w:bottom w:val="nil"/>
              <w:right w:val="single" w:sz="4" w:space="0" w:color="auto"/>
            </w:tcBorders>
            <w:shd w:val="clear" w:color="000000" w:fill="D9E1F2"/>
            <w:noWrap/>
            <w:vAlign w:val="bottom"/>
            <w:hideMark/>
          </w:tcPr>
          <w:p w14:paraId="18D119C3" w14:textId="77777777" w:rsidR="00DB5021" w:rsidRPr="00DB5021" w:rsidRDefault="00DB5021" w:rsidP="00DB5021">
            <w:pPr>
              <w:jc w:val="center"/>
              <w:rPr>
                <w:rFonts w:cs="Calibri"/>
                <w:sz w:val="22"/>
                <w:szCs w:val="22"/>
              </w:rPr>
            </w:pPr>
            <w:r w:rsidRPr="00DB5021">
              <w:rPr>
                <w:rFonts w:cs="Calibri"/>
                <w:sz w:val="22"/>
                <w:szCs w:val="22"/>
              </w:rPr>
              <w:t>56</w:t>
            </w:r>
          </w:p>
        </w:tc>
      </w:tr>
      <w:tr w:rsidR="00CB118F" w:rsidRPr="00DB5021" w14:paraId="085977BD" w14:textId="77777777" w:rsidTr="001F6415">
        <w:trPr>
          <w:trHeight w:val="20"/>
          <w:jc w:val="center"/>
        </w:trPr>
        <w:tc>
          <w:tcPr>
            <w:tcW w:w="1200" w:type="dxa"/>
            <w:tcBorders>
              <w:top w:val="nil"/>
              <w:left w:val="single" w:sz="4" w:space="0" w:color="auto"/>
              <w:bottom w:val="nil"/>
              <w:right w:val="nil"/>
            </w:tcBorders>
            <w:shd w:val="clear" w:color="000000" w:fill="D9E1F2"/>
            <w:noWrap/>
            <w:vAlign w:val="bottom"/>
            <w:hideMark/>
          </w:tcPr>
          <w:p w14:paraId="34A1563D" w14:textId="77777777" w:rsidR="00DB5021" w:rsidRPr="00DB5021" w:rsidRDefault="00DB5021" w:rsidP="00DB5021">
            <w:pPr>
              <w:ind w:firstLineChars="100" w:firstLine="220"/>
              <w:jc w:val="right"/>
              <w:rPr>
                <w:rFonts w:cs="Calibri"/>
                <w:sz w:val="22"/>
                <w:szCs w:val="22"/>
              </w:rPr>
            </w:pPr>
            <w:r w:rsidRPr="00DB5021">
              <w:rPr>
                <w:rFonts w:cs="Calibri"/>
                <w:sz w:val="22"/>
                <w:szCs w:val="22"/>
              </w:rPr>
              <w:t>Feb-17</w:t>
            </w:r>
          </w:p>
        </w:tc>
        <w:tc>
          <w:tcPr>
            <w:tcW w:w="960" w:type="dxa"/>
            <w:tcBorders>
              <w:top w:val="nil"/>
              <w:left w:val="single" w:sz="4" w:space="0" w:color="auto"/>
              <w:bottom w:val="nil"/>
              <w:right w:val="single" w:sz="4" w:space="0" w:color="auto"/>
            </w:tcBorders>
            <w:shd w:val="clear" w:color="000000" w:fill="D9E1F2"/>
            <w:noWrap/>
            <w:vAlign w:val="bottom"/>
            <w:hideMark/>
          </w:tcPr>
          <w:p w14:paraId="2C7625F9" w14:textId="77777777" w:rsidR="00DB5021" w:rsidRPr="00DB5021" w:rsidRDefault="00DB5021" w:rsidP="00DB5021">
            <w:pPr>
              <w:jc w:val="center"/>
              <w:rPr>
                <w:rFonts w:cs="Calibri"/>
                <w:sz w:val="22"/>
                <w:szCs w:val="22"/>
              </w:rPr>
            </w:pPr>
            <w:r w:rsidRPr="00DB5021">
              <w:rPr>
                <w:rFonts w:cs="Calibri"/>
                <w:sz w:val="22"/>
                <w:szCs w:val="22"/>
              </w:rPr>
              <w:t>All</w:t>
            </w:r>
          </w:p>
        </w:tc>
        <w:tc>
          <w:tcPr>
            <w:tcW w:w="975" w:type="dxa"/>
            <w:tcBorders>
              <w:top w:val="nil"/>
              <w:left w:val="nil"/>
              <w:bottom w:val="nil"/>
              <w:right w:val="nil"/>
            </w:tcBorders>
            <w:shd w:val="clear" w:color="000000" w:fill="D9E1F2"/>
            <w:noWrap/>
            <w:vAlign w:val="bottom"/>
            <w:hideMark/>
          </w:tcPr>
          <w:p w14:paraId="4B9B83B1" w14:textId="77777777" w:rsidR="00DB5021" w:rsidRPr="00DB5021" w:rsidRDefault="00DB5021" w:rsidP="00313EEB">
            <w:pPr>
              <w:ind w:firstLineChars="100" w:firstLine="220"/>
              <w:jc w:val="right"/>
              <w:rPr>
                <w:rFonts w:cs="Calibri"/>
                <w:sz w:val="22"/>
                <w:szCs w:val="22"/>
              </w:rPr>
            </w:pPr>
            <w:r w:rsidRPr="00DB5021">
              <w:rPr>
                <w:rFonts w:cs="Calibri"/>
                <w:sz w:val="22"/>
                <w:szCs w:val="22"/>
              </w:rPr>
              <w:t>795</w:t>
            </w:r>
          </w:p>
        </w:tc>
        <w:tc>
          <w:tcPr>
            <w:tcW w:w="1076" w:type="dxa"/>
            <w:tcBorders>
              <w:top w:val="nil"/>
              <w:left w:val="single" w:sz="4" w:space="0" w:color="auto"/>
              <w:bottom w:val="nil"/>
              <w:right w:val="nil"/>
            </w:tcBorders>
            <w:shd w:val="clear" w:color="000000" w:fill="D9E1F2"/>
            <w:noWrap/>
            <w:vAlign w:val="bottom"/>
            <w:hideMark/>
          </w:tcPr>
          <w:p w14:paraId="28180D05"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0.79</w:t>
            </w:r>
          </w:p>
        </w:tc>
        <w:tc>
          <w:tcPr>
            <w:tcW w:w="1076" w:type="dxa"/>
            <w:tcBorders>
              <w:top w:val="nil"/>
              <w:left w:val="nil"/>
              <w:bottom w:val="nil"/>
              <w:right w:val="single" w:sz="4" w:space="0" w:color="auto"/>
            </w:tcBorders>
            <w:shd w:val="clear" w:color="000000" w:fill="D9E1F2"/>
            <w:noWrap/>
            <w:vAlign w:val="bottom"/>
            <w:hideMark/>
          </w:tcPr>
          <w:p w14:paraId="3DB84BFD"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-0.02</w:t>
            </w:r>
          </w:p>
        </w:tc>
        <w:tc>
          <w:tcPr>
            <w:tcW w:w="989" w:type="dxa"/>
            <w:tcBorders>
              <w:top w:val="nil"/>
              <w:left w:val="nil"/>
              <w:bottom w:val="nil"/>
              <w:right w:val="nil"/>
            </w:tcBorders>
            <w:shd w:val="clear" w:color="000000" w:fill="D9E1F2"/>
            <w:noWrap/>
            <w:vAlign w:val="bottom"/>
            <w:hideMark/>
          </w:tcPr>
          <w:p w14:paraId="6247F436"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0.99</w:t>
            </w:r>
          </w:p>
        </w:tc>
        <w:tc>
          <w:tcPr>
            <w:tcW w:w="1099" w:type="dxa"/>
            <w:tcBorders>
              <w:top w:val="nil"/>
              <w:left w:val="nil"/>
              <w:bottom w:val="nil"/>
              <w:right w:val="nil"/>
            </w:tcBorders>
            <w:shd w:val="clear" w:color="000000" w:fill="D9E1F2"/>
            <w:noWrap/>
            <w:vAlign w:val="bottom"/>
            <w:hideMark/>
          </w:tcPr>
          <w:p w14:paraId="7D70AA82"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-0.030</w:t>
            </w:r>
          </w:p>
        </w:tc>
        <w:tc>
          <w:tcPr>
            <w:tcW w:w="850" w:type="dxa"/>
            <w:tcBorders>
              <w:top w:val="nil"/>
              <w:left w:val="single" w:sz="4" w:space="0" w:color="auto"/>
              <w:bottom w:val="nil"/>
              <w:right w:val="single" w:sz="4" w:space="0" w:color="auto"/>
            </w:tcBorders>
            <w:shd w:val="clear" w:color="000000" w:fill="D9E1F2"/>
            <w:noWrap/>
            <w:vAlign w:val="bottom"/>
            <w:hideMark/>
          </w:tcPr>
          <w:p w14:paraId="664A36D5" w14:textId="77777777" w:rsidR="00DB5021" w:rsidRPr="00DB5021" w:rsidRDefault="00DB5021" w:rsidP="00DB5021">
            <w:pPr>
              <w:jc w:val="center"/>
              <w:rPr>
                <w:rFonts w:cs="Calibri"/>
                <w:sz w:val="22"/>
                <w:szCs w:val="22"/>
              </w:rPr>
            </w:pPr>
            <w:r w:rsidRPr="00DB5021">
              <w:rPr>
                <w:rFonts w:cs="Calibri"/>
                <w:sz w:val="22"/>
                <w:szCs w:val="22"/>
              </w:rPr>
              <w:t>-3.1%</w:t>
            </w:r>
          </w:p>
        </w:tc>
        <w:tc>
          <w:tcPr>
            <w:tcW w:w="960" w:type="dxa"/>
            <w:tcBorders>
              <w:top w:val="nil"/>
              <w:left w:val="nil"/>
              <w:bottom w:val="nil"/>
              <w:right w:val="single" w:sz="4" w:space="0" w:color="auto"/>
            </w:tcBorders>
            <w:shd w:val="clear" w:color="000000" w:fill="D9E1F2"/>
            <w:noWrap/>
            <w:vAlign w:val="bottom"/>
            <w:hideMark/>
          </w:tcPr>
          <w:p w14:paraId="48268217" w14:textId="77777777" w:rsidR="00DB5021" w:rsidRPr="00DB5021" w:rsidRDefault="00DB5021" w:rsidP="00DB5021">
            <w:pPr>
              <w:jc w:val="center"/>
              <w:rPr>
                <w:rFonts w:cs="Calibri"/>
                <w:sz w:val="22"/>
                <w:szCs w:val="22"/>
              </w:rPr>
            </w:pPr>
            <w:r w:rsidRPr="00DB5021">
              <w:rPr>
                <w:rFonts w:cs="Calibri"/>
                <w:sz w:val="22"/>
                <w:szCs w:val="22"/>
              </w:rPr>
              <w:t>59</w:t>
            </w:r>
          </w:p>
        </w:tc>
      </w:tr>
      <w:tr w:rsidR="00CB118F" w:rsidRPr="00DB5021" w14:paraId="1CCB7151" w14:textId="77777777" w:rsidTr="001F6415">
        <w:trPr>
          <w:trHeight w:val="20"/>
          <w:jc w:val="center"/>
        </w:trPr>
        <w:tc>
          <w:tcPr>
            <w:tcW w:w="1200" w:type="dxa"/>
            <w:tcBorders>
              <w:top w:val="nil"/>
              <w:left w:val="single" w:sz="4" w:space="0" w:color="auto"/>
              <w:bottom w:val="nil"/>
              <w:right w:val="nil"/>
            </w:tcBorders>
            <w:shd w:val="clear" w:color="000000" w:fill="D9E1F2"/>
            <w:noWrap/>
            <w:vAlign w:val="bottom"/>
            <w:hideMark/>
          </w:tcPr>
          <w:p w14:paraId="6B5336CB" w14:textId="77777777" w:rsidR="00DB5021" w:rsidRPr="00DB5021" w:rsidRDefault="00DB5021" w:rsidP="00DB5021">
            <w:pPr>
              <w:ind w:firstLineChars="100" w:firstLine="220"/>
              <w:jc w:val="right"/>
              <w:rPr>
                <w:rFonts w:cs="Calibri"/>
                <w:sz w:val="22"/>
                <w:szCs w:val="22"/>
              </w:rPr>
            </w:pPr>
            <w:r w:rsidRPr="00DB5021">
              <w:rPr>
                <w:rFonts w:cs="Calibri"/>
                <w:sz w:val="22"/>
                <w:szCs w:val="22"/>
              </w:rPr>
              <w:t>Mar-17</w:t>
            </w:r>
          </w:p>
        </w:tc>
        <w:tc>
          <w:tcPr>
            <w:tcW w:w="960" w:type="dxa"/>
            <w:tcBorders>
              <w:top w:val="nil"/>
              <w:left w:val="single" w:sz="4" w:space="0" w:color="auto"/>
              <w:bottom w:val="nil"/>
              <w:right w:val="single" w:sz="4" w:space="0" w:color="auto"/>
            </w:tcBorders>
            <w:shd w:val="clear" w:color="000000" w:fill="D9E1F2"/>
            <w:noWrap/>
            <w:vAlign w:val="bottom"/>
            <w:hideMark/>
          </w:tcPr>
          <w:p w14:paraId="7269FF3B" w14:textId="77777777" w:rsidR="00DB5021" w:rsidRPr="00DB5021" w:rsidRDefault="00DB5021" w:rsidP="00DB5021">
            <w:pPr>
              <w:jc w:val="center"/>
              <w:rPr>
                <w:rFonts w:cs="Calibri"/>
                <w:sz w:val="22"/>
                <w:szCs w:val="22"/>
              </w:rPr>
            </w:pPr>
            <w:r w:rsidRPr="00DB5021">
              <w:rPr>
                <w:rFonts w:cs="Calibri"/>
                <w:sz w:val="22"/>
                <w:szCs w:val="22"/>
              </w:rPr>
              <w:t>All</w:t>
            </w:r>
          </w:p>
        </w:tc>
        <w:tc>
          <w:tcPr>
            <w:tcW w:w="975" w:type="dxa"/>
            <w:tcBorders>
              <w:top w:val="nil"/>
              <w:left w:val="nil"/>
              <w:bottom w:val="nil"/>
              <w:right w:val="nil"/>
            </w:tcBorders>
            <w:shd w:val="clear" w:color="000000" w:fill="D9E1F2"/>
            <w:noWrap/>
            <w:vAlign w:val="bottom"/>
            <w:hideMark/>
          </w:tcPr>
          <w:p w14:paraId="67717371" w14:textId="77777777" w:rsidR="00DB5021" w:rsidRPr="00DB5021" w:rsidRDefault="00DB5021" w:rsidP="00313EEB">
            <w:pPr>
              <w:ind w:firstLineChars="100" w:firstLine="220"/>
              <w:jc w:val="right"/>
              <w:rPr>
                <w:rFonts w:cs="Calibri"/>
                <w:sz w:val="22"/>
                <w:szCs w:val="22"/>
              </w:rPr>
            </w:pPr>
            <w:r w:rsidRPr="00DB5021">
              <w:rPr>
                <w:rFonts w:cs="Calibri"/>
                <w:sz w:val="22"/>
                <w:szCs w:val="22"/>
              </w:rPr>
              <w:t>860</w:t>
            </w:r>
          </w:p>
        </w:tc>
        <w:tc>
          <w:tcPr>
            <w:tcW w:w="1076" w:type="dxa"/>
            <w:tcBorders>
              <w:top w:val="nil"/>
              <w:left w:val="single" w:sz="4" w:space="0" w:color="auto"/>
              <w:bottom w:val="nil"/>
              <w:right w:val="nil"/>
            </w:tcBorders>
            <w:shd w:val="clear" w:color="000000" w:fill="D9E1F2"/>
            <w:noWrap/>
            <w:vAlign w:val="bottom"/>
            <w:hideMark/>
          </w:tcPr>
          <w:p w14:paraId="06669D61"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0.75</w:t>
            </w:r>
          </w:p>
        </w:tc>
        <w:tc>
          <w:tcPr>
            <w:tcW w:w="1076" w:type="dxa"/>
            <w:tcBorders>
              <w:top w:val="nil"/>
              <w:left w:val="nil"/>
              <w:bottom w:val="nil"/>
              <w:right w:val="single" w:sz="4" w:space="0" w:color="auto"/>
            </w:tcBorders>
            <w:shd w:val="clear" w:color="000000" w:fill="D9E1F2"/>
            <w:noWrap/>
            <w:vAlign w:val="bottom"/>
            <w:hideMark/>
          </w:tcPr>
          <w:p w14:paraId="29B05839"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-0.02</w:t>
            </w:r>
          </w:p>
        </w:tc>
        <w:tc>
          <w:tcPr>
            <w:tcW w:w="989" w:type="dxa"/>
            <w:tcBorders>
              <w:top w:val="nil"/>
              <w:left w:val="nil"/>
              <w:bottom w:val="nil"/>
              <w:right w:val="nil"/>
            </w:tcBorders>
            <w:shd w:val="clear" w:color="000000" w:fill="D9E1F2"/>
            <w:noWrap/>
            <w:vAlign w:val="bottom"/>
            <w:hideMark/>
          </w:tcPr>
          <w:p w14:paraId="6D354F35"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0.88</w:t>
            </w:r>
          </w:p>
        </w:tc>
        <w:tc>
          <w:tcPr>
            <w:tcW w:w="1099" w:type="dxa"/>
            <w:tcBorders>
              <w:top w:val="nil"/>
              <w:left w:val="nil"/>
              <w:bottom w:val="nil"/>
              <w:right w:val="nil"/>
            </w:tcBorders>
            <w:shd w:val="clear" w:color="000000" w:fill="D9E1F2"/>
            <w:noWrap/>
            <w:vAlign w:val="bottom"/>
            <w:hideMark/>
          </w:tcPr>
          <w:p w14:paraId="312C8F8D"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-0.027</w:t>
            </w:r>
          </w:p>
        </w:tc>
        <w:tc>
          <w:tcPr>
            <w:tcW w:w="850" w:type="dxa"/>
            <w:tcBorders>
              <w:top w:val="nil"/>
              <w:left w:val="single" w:sz="4" w:space="0" w:color="auto"/>
              <w:bottom w:val="nil"/>
              <w:right w:val="single" w:sz="4" w:space="0" w:color="auto"/>
            </w:tcBorders>
            <w:shd w:val="clear" w:color="000000" w:fill="D9E1F2"/>
            <w:noWrap/>
            <w:vAlign w:val="bottom"/>
            <w:hideMark/>
          </w:tcPr>
          <w:p w14:paraId="158BF243" w14:textId="77777777" w:rsidR="00DB5021" w:rsidRPr="00DB5021" w:rsidRDefault="00DB5021" w:rsidP="00DB5021">
            <w:pPr>
              <w:jc w:val="center"/>
              <w:rPr>
                <w:rFonts w:cs="Calibri"/>
                <w:sz w:val="22"/>
                <w:szCs w:val="22"/>
              </w:rPr>
            </w:pPr>
            <w:r w:rsidRPr="00DB5021">
              <w:rPr>
                <w:rFonts w:cs="Calibri"/>
                <w:sz w:val="22"/>
                <w:szCs w:val="22"/>
              </w:rPr>
              <w:t>-3.1%</w:t>
            </w:r>
          </w:p>
        </w:tc>
        <w:tc>
          <w:tcPr>
            <w:tcW w:w="960" w:type="dxa"/>
            <w:tcBorders>
              <w:top w:val="nil"/>
              <w:left w:val="nil"/>
              <w:bottom w:val="nil"/>
              <w:right w:val="single" w:sz="4" w:space="0" w:color="auto"/>
            </w:tcBorders>
            <w:shd w:val="clear" w:color="000000" w:fill="D9E1F2"/>
            <w:noWrap/>
            <w:vAlign w:val="bottom"/>
            <w:hideMark/>
          </w:tcPr>
          <w:p w14:paraId="34D9A63E" w14:textId="77777777" w:rsidR="00DB5021" w:rsidRPr="00DB5021" w:rsidRDefault="00DB5021" w:rsidP="00DB5021">
            <w:pPr>
              <w:jc w:val="center"/>
              <w:rPr>
                <w:rFonts w:cs="Calibri"/>
                <w:sz w:val="22"/>
                <w:szCs w:val="22"/>
              </w:rPr>
            </w:pPr>
            <w:r w:rsidRPr="00DB5021">
              <w:rPr>
                <w:rFonts w:cs="Calibri"/>
                <w:sz w:val="22"/>
                <w:szCs w:val="22"/>
              </w:rPr>
              <w:t>65</w:t>
            </w:r>
          </w:p>
        </w:tc>
      </w:tr>
      <w:tr w:rsidR="00CB118F" w:rsidRPr="00DB5021" w14:paraId="070F7BC5" w14:textId="77777777" w:rsidTr="001F6415">
        <w:trPr>
          <w:trHeight w:val="20"/>
          <w:jc w:val="center"/>
        </w:trPr>
        <w:tc>
          <w:tcPr>
            <w:tcW w:w="1200" w:type="dxa"/>
            <w:tcBorders>
              <w:top w:val="nil"/>
              <w:left w:val="single" w:sz="4" w:space="0" w:color="auto"/>
              <w:bottom w:val="single" w:sz="4" w:space="0" w:color="auto"/>
              <w:right w:val="nil"/>
            </w:tcBorders>
            <w:shd w:val="clear" w:color="000000" w:fill="D9E1F2"/>
            <w:noWrap/>
            <w:vAlign w:val="bottom"/>
            <w:hideMark/>
          </w:tcPr>
          <w:p w14:paraId="43C6ED45" w14:textId="77777777" w:rsidR="00DB5021" w:rsidRPr="00DB5021" w:rsidRDefault="00DB5021" w:rsidP="00DB5021">
            <w:pPr>
              <w:ind w:firstLineChars="100" w:firstLine="220"/>
              <w:jc w:val="right"/>
              <w:rPr>
                <w:rFonts w:cs="Calibri"/>
                <w:sz w:val="22"/>
                <w:szCs w:val="22"/>
              </w:rPr>
            </w:pPr>
            <w:r w:rsidRPr="00DB5021">
              <w:rPr>
                <w:rFonts w:cs="Calibri"/>
                <w:sz w:val="22"/>
                <w:szCs w:val="22"/>
              </w:rPr>
              <w:t>Apr-17</w:t>
            </w:r>
          </w:p>
        </w:tc>
        <w:tc>
          <w:tcPr>
            <w:tcW w:w="960" w:type="dxa"/>
            <w:tcBorders>
              <w:top w:val="nil"/>
              <w:left w:val="single" w:sz="4" w:space="0" w:color="auto"/>
              <w:bottom w:val="single" w:sz="4" w:space="0" w:color="auto"/>
              <w:right w:val="single" w:sz="4" w:space="0" w:color="auto"/>
            </w:tcBorders>
            <w:shd w:val="clear" w:color="000000" w:fill="D9E1F2"/>
            <w:noWrap/>
            <w:vAlign w:val="bottom"/>
            <w:hideMark/>
          </w:tcPr>
          <w:p w14:paraId="4189366D" w14:textId="77777777" w:rsidR="00DB5021" w:rsidRPr="00DB5021" w:rsidRDefault="00DB5021" w:rsidP="00DB5021">
            <w:pPr>
              <w:jc w:val="center"/>
              <w:rPr>
                <w:rFonts w:cs="Calibri"/>
                <w:sz w:val="22"/>
                <w:szCs w:val="22"/>
              </w:rPr>
            </w:pPr>
            <w:r w:rsidRPr="00DB5021">
              <w:rPr>
                <w:rFonts w:cs="Calibri"/>
                <w:sz w:val="22"/>
                <w:szCs w:val="22"/>
              </w:rPr>
              <w:t>All</w:t>
            </w:r>
          </w:p>
        </w:tc>
        <w:tc>
          <w:tcPr>
            <w:tcW w:w="975" w:type="dxa"/>
            <w:tcBorders>
              <w:top w:val="nil"/>
              <w:left w:val="nil"/>
              <w:bottom w:val="single" w:sz="4" w:space="0" w:color="auto"/>
              <w:right w:val="nil"/>
            </w:tcBorders>
            <w:shd w:val="clear" w:color="000000" w:fill="D9E1F2"/>
            <w:noWrap/>
            <w:vAlign w:val="bottom"/>
            <w:hideMark/>
          </w:tcPr>
          <w:p w14:paraId="47F9BC94" w14:textId="77777777" w:rsidR="00DB5021" w:rsidRPr="00DB5021" w:rsidRDefault="00DB5021" w:rsidP="00313EEB">
            <w:pPr>
              <w:ind w:firstLineChars="100" w:firstLine="220"/>
              <w:jc w:val="right"/>
              <w:rPr>
                <w:rFonts w:cs="Calibri"/>
                <w:sz w:val="22"/>
                <w:szCs w:val="22"/>
              </w:rPr>
            </w:pPr>
            <w:r w:rsidRPr="00DB5021">
              <w:rPr>
                <w:rFonts w:cs="Calibri"/>
                <w:sz w:val="22"/>
                <w:szCs w:val="22"/>
              </w:rPr>
              <w:t>897</w:t>
            </w:r>
          </w:p>
        </w:tc>
        <w:tc>
          <w:tcPr>
            <w:tcW w:w="1076" w:type="dxa"/>
            <w:tcBorders>
              <w:top w:val="nil"/>
              <w:left w:val="single" w:sz="4" w:space="0" w:color="auto"/>
              <w:bottom w:val="single" w:sz="4" w:space="0" w:color="auto"/>
              <w:right w:val="nil"/>
            </w:tcBorders>
            <w:shd w:val="clear" w:color="000000" w:fill="D9E1F2"/>
            <w:noWrap/>
            <w:vAlign w:val="bottom"/>
            <w:hideMark/>
          </w:tcPr>
          <w:p w14:paraId="52C45075"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0.71</w:t>
            </w:r>
          </w:p>
        </w:tc>
        <w:tc>
          <w:tcPr>
            <w:tcW w:w="1076" w:type="dxa"/>
            <w:tcBorders>
              <w:top w:val="nil"/>
              <w:left w:val="nil"/>
              <w:bottom w:val="single" w:sz="4" w:space="0" w:color="auto"/>
              <w:right w:val="single" w:sz="4" w:space="0" w:color="auto"/>
            </w:tcBorders>
            <w:shd w:val="clear" w:color="000000" w:fill="D9E1F2"/>
            <w:noWrap/>
            <w:vAlign w:val="bottom"/>
            <w:hideMark/>
          </w:tcPr>
          <w:p w14:paraId="504F7869"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-0.02</w:t>
            </w:r>
          </w:p>
        </w:tc>
        <w:tc>
          <w:tcPr>
            <w:tcW w:w="989" w:type="dxa"/>
            <w:tcBorders>
              <w:top w:val="nil"/>
              <w:left w:val="nil"/>
              <w:bottom w:val="single" w:sz="4" w:space="0" w:color="auto"/>
              <w:right w:val="nil"/>
            </w:tcBorders>
            <w:shd w:val="clear" w:color="000000" w:fill="D9E1F2"/>
            <w:noWrap/>
            <w:vAlign w:val="bottom"/>
            <w:hideMark/>
          </w:tcPr>
          <w:p w14:paraId="13CB412B"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0.79</w:t>
            </w:r>
          </w:p>
        </w:tc>
        <w:tc>
          <w:tcPr>
            <w:tcW w:w="1099" w:type="dxa"/>
            <w:tcBorders>
              <w:top w:val="nil"/>
              <w:left w:val="nil"/>
              <w:bottom w:val="single" w:sz="4" w:space="0" w:color="auto"/>
              <w:right w:val="nil"/>
            </w:tcBorders>
            <w:shd w:val="clear" w:color="000000" w:fill="D9E1F2"/>
            <w:noWrap/>
            <w:vAlign w:val="bottom"/>
            <w:hideMark/>
          </w:tcPr>
          <w:p w14:paraId="778FCD1C"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-0.024</w:t>
            </w:r>
          </w:p>
        </w:tc>
        <w:tc>
          <w:tcPr>
            <w:tcW w:w="850" w:type="dxa"/>
            <w:tcBorders>
              <w:top w:val="nil"/>
              <w:left w:val="single" w:sz="4" w:space="0" w:color="auto"/>
              <w:bottom w:val="single" w:sz="4" w:space="0" w:color="auto"/>
              <w:right w:val="single" w:sz="4" w:space="0" w:color="auto"/>
            </w:tcBorders>
            <w:shd w:val="clear" w:color="000000" w:fill="D9E1F2"/>
            <w:noWrap/>
            <w:vAlign w:val="bottom"/>
            <w:hideMark/>
          </w:tcPr>
          <w:p w14:paraId="62BC97BE" w14:textId="77777777" w:rsidR="00DB5021" w:rsidRPr="00DB5021" w:rsidRDefault="00DB5021" w:rsidP="00DB5021">
            <w:pPr>
              <w:jc w:val="center"/>
              <w:rPr>
                <w:rFonts w:cs="Calibri"/>
                <w:sz w:val="22"/>
                <w:szCs w:val="22"/>
              </w:rPr>
            </w:pPr>
            <w:r w:rsidRPr="00DB5021">
              <w:rPr>
                <w:rFonts w:cs="Calibri"/>
                <w:sz w:val="22"/>
                <w:szCs w:val="22"/>
              </w:rPr>
              <w:t>-3.1%</w:t>
            </w:r>
          </w:p>
        </w:tc>
        <w:tc>
          <w:tcPr>
            <w:tcW w:w="960" w:type="dxa"/>
            <w:tcBorders>
              <w:top w:val="nil"/>
              <w:left w:val="nil"/>
              <w:bottom w:val="single" w:sz="4" w:space="0" w:color="auto"/>
              <w:right w:val="single" w:sz="4" w:space="0" w:color="auto"/>
            </w:tcBorders>
            <w:shd w:val="clear" w:color="000000" w:fill="D9E1F2"/>
            <w:noWrap/>
            <w:vAlign w:val="bottom"/>
            <w:hideMark/>
          </w:tcPr>
          <w:p w14:paraId="78163581" w14:textId="77777777" w:rsidR="00DB5021" w:rsidRPr="00DB5021" w:rsidRDefault="00DB5021" w:rsidP="00DB5021">
            <w:pPr>
              <w:jc w:val="center"/>
              <w:rPr>
                <w:rFonts w:cs="Calibri"/>
                <w:sz w:val="22"/>
                <w:szCs w:val="22"/>
              </w:rPr>
            </w:pPr>
            <w:r w:rsidRPr="00DB5021">
              <w:rPr>
                <w:rFonts w:cs="Calibri"/>
                <w:sz w:val="22"/>
                <w:szCs w:val="22"/>
              </w:rPr>
              <w:t>67</w:t>
            </w:r>
          </w:p>
        </w:tc>
      </w:tr>
      <w:tr w:rsidR="00CB118F" w:rsidRPr="00DB5021" w14:paraId="2DA0BA65" w14:textId="77777777" w:rsidTr="001F6415">
        <w:trPr>
          <w:trHeight w:val="20"/>
          <w:jc w:val="center"/>
        </w:trPr>
        <w:tc>
          <w:tcPr>
            <w:tcW w:w="1200" w:type="dxa"/>
            <w:tcBorders>
              <w:top w:val="nil"/>
              <w:left w:val="single" w:sz="4" w:space="0" w:color="auto"/>
              <w:bottom w:val="nil"/>
              <w:right w:val="nil"/>
            </w:tcBorders>
            <w:shd w:val="clear" w:color="000000" w:fill="FFFFFF"/>
            <w:noWrap/>
            <w:vAlign w:val="bottom"/>
            <w:hideMark/>
          </w:tcPr>
          <w:p w14:paraId="780BE93D" w14:textId="77777777" w:rsidR="00DB5021" w:rsidRPr="00DB5021" w:rsidRDefault="00DB5021" w:rsidP="00DB5021">
            <w:pPr>
              <w:ind w:firstLineChars="100" w:firstLine="220"/>
              <w:jc w:val="right"/>
              <w:rPr>
                <w:rFonts w:cs="Calibri"/>
                <w:sz w:val="22"/>
                <w:szCs w:val="22"/>
              </w:rPr>
            </w:pPr>
            <w:r w:rsidRPr="00DB5021">
              <w:rPr>
                <w:rFonts w:cs="Calibri"/>
                <w:sz w:val="22"/>
                <w:szCs w:val="22"/>
              </w:rPr>
              <w:t>May-17</w:t>
            </w:r>
          </w:p>
        </w:tc>
        <w:tc>
          <w:tcPr>
            <w:tcW w:w="960" w:type="dxa"/>
            <w:tcBorders>
              <w:top w:val="nil"/>
              <w:left w:val="single" w:sz="4" w:space="0" w:color="auto"/>
              <w:bottom w:val="nil"/>
              <w:right w:val="single" w:sz="4" w:space="0" w:color="auto"/>
            </w:tcBorders>
            <w:shd w:val="clear" w:color="000000" w:fill="FFFFFF"/>
            <w:noWrap/>
            <w:vAlign w:val="bottom"/>
            <w:hideMark/>
          </w:tcPr>
          <w:p w14:paraId="7BFFBD98" w14:textId="77777777" w:rsidR="00DB5021" w:rsidRPr="00DB5021" w:rsidRDefault="00DB5021" w:rsidP="00DB5021">
            <w:pPr>
              <w:jc w:val="center"/>
              <w:rPr>
                <w:rFonts w:cs="Calibri"/>
                <w:sz w:val="22"/>
                <w:szCs w:val="22"/>
              </w:rPr>
            </w:pPr>
            <w:r w:rsidRPr="00DB5021">
              <w:rPr>
                <w:rFonts w:cs="Calibri"/>
                <w:sz w:val="22"/>
                <w:szCs w:val="22"/>
              </w:rPr>
              <w:t>All</w:t>
            </w:r>
          </w:p>
        </w:tc>
        <w:tc>
          <w:tcPr>
            <w:tcW w:w="975" w:type="dxa"/>
            <w:tcBorders>
              <w:top w:val="nil"/>
              <w:left w:val="nil"/>
              <w:bottom w:val="nil"/>
              <w:right w:val="nil"/>
            </w:tcBorders>
            <w:shd w:val="clear" w:color="000000" w:fill="FFFFFF"/>
            <w:noWrap/>
            <w:vAlign w:val="bottom"/>
            <w:hideMark/>
          </w:tcPr>
          <w:p w14:paraId="1D197AEA" w14:textId="77777777" w:rsidR="00DB5021" w:rsidRPr="00DB5021" w:rsidRDefault="00DB5021" w:rsidP="00313EEB">
            <w:pPr>
              <w:ind w:firstLineChars="100" w:firstLine="220"/>
              <w:jc w:val="right"/>
              <w:rPr>
                <w:rFonts w:cs="Calibri"/>
                <w:sz w:val="22"/>
                <w:szCs w:val="22"/>
              </w:rPr>
            </w:pPr>
            <w:r w:rsidRPr="00DB5021">
              <w:rPr>
                <w:rFonts w:cs="Calibri"/>
                <w:sz w:val="22"/>
                <w:szCs w:val="22"/>
              </w:rPr>
              <w:t>934</w:t>
            </w:r>
          </w:p>
        </w:tc>
        <w:tc>
          <w:tcPr>
            <w:tcW w:w="1076" w:type="dxa"/>
            <w:tcBorders>
              <w:top w:val="nil"/>
              <w:left w:val="single" w:sz="4" w:space="0" w:color="auto"/>
              <w:bottom w:val="nil"/>
              <w:right w:val="nil"/>
            </w:tcBorders>
            <w:shd w:val="clear" w:color="000000" w:fill="FFFFFF"/>
            <w:noWrap/>
            <w:vAlign w:val="bottom"/>
            <w:hideMark/>
          </w:tcPr>
          <w:p w14:paraId="758D1EDF"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0.57</w:t>
            </w:r>
          </w:p>
        </w:tc>
        <w:tc>
          <w:tcPr>
            <w:tcW w:w="1076" w:type="dxa"/>
            <w:tcBorders>
              <w:top w:val="nil"/>
              <w:left w:val="nil"/>
              <w:bottom w:val="nil"/>
              <w:right w:val="single" w:sz="4" w:space="0" w:color="auto"/>
            </w:tcBorders>
            <w:shd w:val="clear" w:color="000000" w:fill="FFFFFF"/>
            <w:noWrap/>
            <w:vAlign w:val="bottom"/>
            <w:hideMark/>
          </w:tcPr>
          <w:p w14:paraId="41E6563C"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0.03</w:t>
            </w:r>
          </w:p>
        </w:tc>
        <w:tc>
          <w:tcPr>
            <w:tcW w:w="989" w:type="dxa"/>
            <w:tcBorders>
              <w:top w:val="nil"/>
              <w:left w:val="nil"/>
              <w:bottom w:val="nil"/>
              <w:right w:val="nil"/>
            </w:tcBorders>
            <w:shd w:val="clear" w:color="000000" w:fill="FFFFFF"/>
            <w:noWrap/>
            <w:vAlign w:val="bottom"/>
            <w:hideMark/>
          </w:tcPr>
          <w:p w14:paraId="3C871423"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0.61</w:t>
            </w:r>
          </w:p>
        </w:tc>
        <w:tc>
          <w:tcPr>
            <w:tcW w:w="1099" w:type="dxa"/>
            <w:tcBorders>
              <w:top w:val="nil"/>
              <w:left w:val="nil"/>
              <w:bottom w:val="nil"/>
              <w:right w:val="nil"/>
            </w:tcBorders>
            <w:shd w:val="clear" w:color="000000" w:fill="FFFFFF"/>
            <w:noWrap/>
            <w:vAlign w:val="bottom"/>
            <w:hideMark/>
          </w:tcPr>
          <w:p w14:paraId="251C627A"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0.036</w:t>
            </w:r>
          </w:p>
        </w:tc>
        <w:tc>
          <w:tcPr>
            <w:tcW w:w="850" w:type="dxa"/>
            <w:tcBorders>
              <w:top w:val="nil"/>
              <w:left w:val="single" w:sz="4" w:space="0" w:color="auto"/>
              <w:bottom w:val="nil"/>
              <w:right w:val="single" w:sz="4" w:space="0" w:color="auto"/>
            </w:tcBorders>
            <w:shd w:val="clear" w:color="000000" w:fill="FFFFFF"/>
            <w:noWrap/>
            <w:vAlign w:val="bottom"/>
            <w:hideMark/>
          </w:tcPr>
          <w:p w14:paraId="4CFA9B0A" w14:textId="77777777" w:rsidR="00DB5021" w:rsidRPr="00DB5021" w:rsidRDefault="00DB5021" w:rsidP="00DB5021">
            <w:pPr>
              <w:jc w:val="center"/>
              <w:rPr>
                <w:rFonts w:cs="Calibri"/>
                <w:sz w:val="22"/>
                <w:szCs w:val="22"/>
              </w:rPr>
            </w:pPr>
            <w:r w:rsidRPr="00DB5021">
              <w:rPr>
                <w:rFonts w:cs="Calibri"/>
                <w:sz w:val="22"/>
                <w:szCs w:val="22"/>
              </w:rPr>
              <w:t>6.0%</w:t>
            </w:r>
          </w:p>
        </w:tc>
        <w:tc>
          <w:tcPr>
            <w:tcW w:w="960" w:type="dxa"/>
            <w:tcBorders>
              <w:top w:val="nil"/>
              <w:left w:val="nil"/>
              <w:bottom w:val="nil"/>
              <w:right w:val="single" w:sz="4" w:space="0" w:color="auto"/>
            </w:tcBorders>
            <w:shd w:val="clear" w:color="000000" w:fill="FFFFFF"/>
            <w:noWrap/>
            <w:vAlign w:val="bottom"/>
            <w:hideMark/>
          </w:tcPr>
          <w:p w14:paraId="451ABBBA" w14:textId="77777777" w:rsidR="00DB5021" w:rsidRPr="00DB5021" w:rsidRDefault="00DB5021" w:rsidP="00DB5021">
            <w:pPr>
              <w:jc w:val="center"/>
              <w:rPr>
                <w:rFonts w:cs="Calibri"/>
                <w:sz w:val="22"/>
                <w:szCs w:val="22"/>
              </w:rPr>
            </w:pPr>
            <w:r w:rsidRPr="00DB5021">
              <w:rPr>
                <w:rFonts w:cs="Calibri"/>
                <w:sz w:val="22"/>
                <w:szCs w:val="22"/>
              </w:rPr>
              <w:t>69</w:t>
            </w:r>
          </w:p>
        </w:tc>
      </w:tr>
      <w:tr w:rsidR="00CB118F" w:rsidRPr="00DB5021" w14:paraId="60DF7A60" w14:textId="77777777" w:rsidTr="001F6415">
        <w:trPr>
          <w:trHeight w:val="20"/>
          <w:jc w:val="center"/>
        </w:trPr>
        <w:tc>
          <w:tcPr>
            <w:tcW w:w="1200" w:type="dxa"/>
            <w:tcBorders>
              <w:top w:val="nil"/>
              <w:left w:val="single" w:sz="4" w:space="0" w:color="auto"/>
              <w:bottom w:val="nil"/>
              <w:right w:val="nil"/>
            </w:tcBorders>
            <w:shd w:val="clear" w:color="000000" w:fill="FFFFFF"/>
            <w:noWrap/>
            <w:vAlign w:val="bottom"/>
            <w:hideMark/>
          </w:tcPr>
          <w:p w14:paraId="0A1B76C8" w14:textId="77777777" w:rsidR="00DB5021" w:rsidRPr="00DB5021" w:rsidRDefault="00DB5021" w:rsidP="00DB5021">
            <w:pPr>
              <w:ind w:firstLineChars="100" w:firstLine="220"/>
              <w:jc w:val="right"/>
              <w:rPr>
                <w:rFonts w:cs="Calibri"/>
                <w:sz w:val="22"/>
                <w:szCs w:val="22"/>
              </w:rPr>
            </w:pPr>
            <w:r w:rsidRPr="00DB5021">
              <w:rPr>
                <w:rFonts w:cs="Calibri"/>
                <w:sz w:val="22"/>
                <w:szCs w:val="22"/>
              </w:rPr>
              <w:t>Jun-17</w:t>
            </w:r>
          </w:p>
        </w:tc>
        <w:tc>
          <w:tcPr>
            <w:tcW w:w="960" w:type="dxa"/>
            <w:tcBorders>
              <w:top w:val="nil"/>
              <w:left w:val="single" w:sz="4" w:space="0" w:color="auto"/>
              <w:bottom w:val="nil"/>
              <w:right w:val="single" w:sz="4" w:space="0" w:color="auto"/>
            </w:tcBorders>
            <w:shd w:val="clear" w:color="000000" w:fill="FFFFFF"/>
            <w:noWrap/>
            <w:vAlign w:val="bottom"/>
            <w:hideMark/>
          </w:tcPr>
          <w:p w14:paraId="5AA89213" w14:textId="77777777" w:rsidR="00DB5021" w:rsidRPr="00DB5021" w:rsidRDefault="00DB5021" w:rsidP="00DB5021">
            <w:pPr>
              <w:jc w:val="center"/>
              <w:rPr>
                <w:rFonts w:cs="Calibri"/>
                <w:sz w:val="22"/>
                <w:szCs w:val="22"/>
              </w:rPr>
            </w:pPr>
            <w:r w:rsidRPr="00DB5021">
              <w:rPr>
                <w:rFonts w:cs="Calibri"/>
                <w:sz w:val="22"/>
                <w:szCs w:val="22"/>
              </w:rPr>
              <w:t>All</w:t>
            </w:r>
          </w:p>
        </w:tc>
        <w:tc>
          <w:tcPr>
            <w:tcW w:w="975" w:type="dxa"/>
            <w:tcBorders>
              <w:top w:val="nil"/>
              <w:left w:val="nil"/>
              <w:bottom w:val="nil"/>
              <w:right w:val="nil"/>
            </w:tcBorders>
            <w:shd w:val="clear" w:color="000000" w:fill="FFFFFF"/>
            <w:noWrap/>
            <w:vAlign w:val="bottom"/>
            <w:hideMark/>
          </w:tcPr>
          <w:p w14:paraId="0FF8BE51" w14:textId="77777777" w:rsidR="00DB5021" w:rsidRPr="00DB5021" w:rsidRDefault="00DB5021" w:rsidP="00313EEB">
            <w:pPr>
              <w:ind w:firstLineChars="100" w:firstLine="220"/>
              <w:jc w:val="right"/>
              <w:rPr>
                <w:rFonts w:cs="Calibri"/>
                <w:sz w:val="22"/>
                <w:szCs w:val="22"/>
              </w:rPr>
            </w:pPr>
            <w:r w:rsidRPr="00DB5021">
              <w:rPr>
                <w:rFonts w:cs="Calibri"/>
                <w:sz w:val="22"/>
                <w:szCs w:val="22"/>
              </w:rPr>
              <w:t>1,002</w:t>
            </w:r>
          </w:p>
        </w:tc>
        <w:tc>
          <w:tcPr>
            <w:tcW w:w="1076" w:type="dxa"/>
            <w:tcBorders>
              <w:top w:val="nil"/>
              <w:left w:val="single" w:sz="4" w:space="0" w:color="auto"/>
              <w:bottom w:val="nil"/>
              <w:right w:val="nil"/>
            </w:tcBorders>
            <w:shd w:val="clear" w:color="000000" w:fill="FFFFFF"/>
            <w:noWrap/>
            <w:vAlign w:val="bottom"/>
            <w:hideMark/>
          </w:tcPr>
          <w:p w14:paraId="54A9F3FA"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0.77</w:t>
            </w:r>
          </w:p>
        </w:tc>
        <w:tc>
          <w:tcPr>
            <w:tcW w:w="1076" w:type="dxa"/>
            <w:tcBorders>
              <w:top w:val="nil"/>
              <w:left w:val="nil"/>
              <w:bottom w:val="nil"/>
              <w:right w:val="single" w:sz="4" w:space="0" w:color="auto"/>
            </w:tcBorders>
            <w:shd w:val="clear" w:color="000000" w:fill="FFFFFF"/>
            <w:noWrap/>
            <w:vAlign w:val="bottom"/>
            <w:hideMark/>
          </w:tcPr>
          <w:p w14:paraId="1701B3C3"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0.05</w:t>
            </w:r>
          </w:p>
        </w:tc>
        <w:tc>
          <w:tcPr>
            <w:tcW w:w="989" w:type="dxa"/>
            <w:tcBorders>
              <w:top w:val="nil"/>
              <w:left w:val="nil"/>
              <w:bottom w:val="nil"/>
              <w:right w:val="nil"/>
            </w:tcBorders>
            <w:shd w:val="clear" w:color="000000" w:fill="FFFFFF"/>
            <w:noWrap/>
            <w:vAlign w:val="bottom"/>
            <w:hideMark/>
          </w:tcPr>
          <w:p w14:paraId="3759EF92"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0.77</w:t>
            </w:r>
          </w:p>
        </w:tc>
        <w:tc>
          <w:tcPr>
            <w:tcW w:w="1099" w:type="dxa"/>
            <w:tcBorders>
              <w:top w:val="nil"/>
              <w:left w:val="nil"/>
              <w:bottom w:val="nil"/>
              <w:right w:val="nil"/>
            </w:tcBorders>
            <w:shd w:val="clear" w:color="000000" w:fill="FFFFFF"/>
            <w:noWrap/>
            <w:vAlign w:val="bottom"/>
            <w:hideMark/>
          </w:tcPr>
          <w:p w14:paraId="10488291"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0.046</w:t>
            </w:r>
          </w:p>
        </w:tc>
        <w:tc>
          <w:tcPr>
            <w:tcW w:w="850" w:type="dxa"/>
            <w:tcBorders>
              <w:top w:val="nil"/>
              <w:left w:val="single" w:sz="4" w:space="0" w:color="auto"/>
              <w:bottom w:val="nil"/>
              <w:right w:val="single" w:sz="4" w:space="0" w:color="auto"/>
            </w:tcBorders>
            <w:shd w:val="clear" w:color="000000" w:fill="FFFFFF"/>
            <w:noWrap/>
            <w:vAlign w:val="bottom"/>
            <w:hideMark/>
          </w:tcPr>
          <w:p w14:paraId="48C5B5F0" w14:textId="77777777" w:rsidR="00DB5021" w:rsidRPr="00DB5021" w:rsidRDefault="00DB5021" w:rsidP="00DB5021">
            <w:pPr>
              <w:jc w:val="center"/>
              <w:rPr>
                <w:rFonts w:cs="Calibri"/>
                <w:sz w:val="22"/>
                <w:szCs w:val="22"/>
              </w:rPr>
            </w:pPr>
            <w:r w:rsidRPr="00DB5021">
              <w:rPr>
                <w:rFonts w:cs="Calibri"/>
                <w:sz w:val="22"/>
                <w:szCs w:val="22"/>
              </w:rPr>
              <w:t>6.0%</w:t>
            </w:r>
          </w:p>
        </w:tc>
        <w:tc>
          <w:tcPr>
            <w:tcW w:w="960" w:type="dxa"/>
            <w:tcBorders>
              <w:top w:val="nil"/>
              <w:left w:val="nil"/>
              <w:bottom w:val="nil"/>
              <w:right w:val="single" w:sz="4" w:space="0" w:color="auto"/>
            </w:tcBorders>
            <w:shd w:val="clear" w:color="000000" w:fill="FFFFFF"/>
            <w:noWrap/>
            <w:vAlign w:val="bottom"/>
            <w:hideMark/>
          </w:tcPr>
          <w:p w14:paraId="63E19A0B" w14:textId="77777777" w:rsidR="00DB5021" w:rsidRPr="00DB5021" w:rsidRDefault="00DB5021" w:rsidP="00DB5021">
            <w:pPr>
              <w:jc w:val="center"/>
              <w:rPr>
                <w:rFonts w:cs="Calibri"/>
                <w:sz w:val="22"/>
                <w:szCs w:val="22"/>
              </w:rPr>
            </w:pPr>
            <w:r w:rsidRPr="00DB5021">
              <w:rPr>
                <w:rFonts w:cs="Calibri"/>
                <w:sz w:val="22"/>
                <w:szCs w:val="22"/>
              </w:rPr>
              <w:t>74</w:t>
            </w:r>
          </w:p>
        </w:tc>
      </w:tr>
      <w:tr w:rsidR="00CB118F" w:rsidRPr="00DB5021" w14:paraId="02546D3D" w14:textId="77777777" w:rsidTr="001F6415">
        <w:trPr>
          <w:trHeight w:val="20"/>
          <w:jc w:val="center"/>
        </w:trPr>
        <w:tc>
          <w:tcPr>
            <w:tcW w:w="1200" w:type="dxa"/>
            <w:tcBorders>
              <w:top w:val="nil"/>
              <w:left w:val="single" w:sz="4" w:space="0" w:color="auto"/>
              <w:bottom w:val="nil"/>
              <w:right w:val="nil"/>
            </w:tcBorders>
            <w:shd w:val="clear" w:color="000000" w:fill="FFFFFF"/>
            <w:noWrap/>
            <w:vAlign w:val="bottom"/>
            <w:hideMark/>
          </w:tcPr>
          <w:p w14:paraId="7866A1AB" w14:textId="77777777" w:rsidR="00DB5021" w:rsidRPr="00DB5021" w:rsidRDefault="00DB5021" w:rsidP="00DB5021">
            <w:pPr>
              <w:ind w:firstLineChars="100" w:firstLine="220"/>
              <w:jc w:val="right"/>
              <w:rPr>
                <w:rFonts w:cs="Calibri"/>
                <w:sz w:val="22"/>
                <w:szCs w:val="22"/>
              </w:rPr>
            </w:pPr>
            <w:r w:rsidRPr="00DB5021">
              <w:rPr>
                <w:rFonts w:cs="Calibri"/>
                <w:sz w:val="22"/>
                <w:szCs w:val="22"/>
              </w:rPr>
              <w:t>Jul-17</w:t>
            </w:r>
          </w:p>
        </w:tc>
        <w:tc>
          <w:tcPr>
            <w:tcW w:w="960" w:type="dxa"/>
            <w:tcBorders>
              <w:top w:val="nil"/>
              <w:left w:val="single" w:sz="4" w:space="0" w:color="auto"/>
              <w:bottom w:val="nil"/>
              <w:right w:val="single" w:sz="4" w:space="0" w:color="auto"/>
            </w:tcBorders>
            <w:shd w:val="clear" w:color="000000" w:fill="FFFFFF"/>
            <w:noWrap/>
            <w:vAlign w:val="bottom"/>
            <w:hideMark/>
          </w:tcPr>
          <w:p w14:paraId="14551370" w14:textId="77777777" w:rsidR="00DB5021" w:rsidRPr="00DB5021" w:rsidRDefault="00DB5021" w:rsidP="00DB5021">
            <w:pPr>
              <w:jc w:val="center"/>
              <w:rPr>
                <w:rFonts w:cs="Calibri"/>
                <w:sz w:val="22"/>
                <w:szCs w:val="22"/>
              </w:rPr>
            </w:pPr>
            <w:r w:rsidRPr="00DB5021">
              <w:rPr>
                <w:rFonts w:cs="Calibri"/>
                <w:sz w:val="22"/>
                <w:szCs w:val="22"/>
              </w:rPr>
              <w:t>All</w:t>
            </w:r>
          </w:p>
        </w:tc>
        <w:tc>
          <w:tcPr>
            <w:tcW w:w="975" w:type="dxa"/>
            <w:tcBorders>
              <w:top w:val="nil"/>
              <w:left w:val="nil"/>
              <w:bottom w:val="nil"/>
              <w:right w:val="nil"/>
            </w:tcBorders>
            <w:shd w:val="clear" w:color="000000" w:fill="FFFFFF"/>
            <w:noWrap/>
            <w:vAlign w:val="bottom"/>
            <w:hideMark/>
          </w:tcPr>
          <w:p w14:paraId="1ED75BF9" w14:textId="77777777" w:rsidR="00DB5021" w:rsidRPr="00DB5021" w:rsidRDefault="00DB5021" w:rsidP="00313EEB">
            <w:pPr>
              <w:ind w:firstLineChars="100" w:firstLine="220"/>
              <w:jc w:val="right"/>
              <w:rPr>
                <w:rFonts w:cs="Calibri"/>
                <w:sz w:val="22"/>
                <w:szCs w:val="22"/>
              </w:rPr>
            </w:pPr>
            <w:r w:rsidRPr="00DB5021">
              <w:rPr>
                <w:rFonts w:cs="Calibri"/>
                <w:sz w:val="22"/>
                <w:szCs w:val="22"/>
              </w:rPr>
              <w:t>1,130</w:t>
            </w:r>
          </w:p>
        </w:tc>
        <w:tc>
          <w:tcPr>
            <w:tcW w:w="1076" w:type="dxa"/>
            <w:tcBorders>
              <w:top w:val="nil"/>
              <w:left w:val="single" w:sz="4" w:space="0" w:color="auto"/>
              <w:bottom w:val="nil"/>
              <w:right w:val="nil"/>
            </w:tcBorders>
            <w:shd w:val="clear" w:color="000000" w:fill="FFFFFF"/>
            <w:noWrap/>
            <w:vAlign w:val="bottom"/>
            <w:hideMark/>
          </w:tcPr>
          <w:p w14:paraId="46F02058" w14:textId="77777777" w:rsidR="00DB5021" w:rsidRPr="00DB5021" w:rsidRDefault="00DB5021" w:rsidP="00DB5021">
            <w:pPr>
              <w:ind w:firstLineChars="100" w:firstLine="220"/>
              <w:jc w:val="center"/>
              <w:rPr>
                <w:rFonts w:cs="Calibri"/>
                <w:sz w:val="22"/>
                <w:szCs w:val="22"/>
              </w:rPr>
            </w:pPr>
            <w:r w:rsidRPr="00DB5021">
              <w:rPr>
                <w:rFonts w:cs="Calibri"/>
                <w:sz w:val="22"/>
                <w:szCs w:val="22"/>
              </w:rPr>
              <w:t>1.19</w:t>
            </w:r>
          </w:p>
        </w:tc>
        <w:tc>
          <w:tcPr>
            <w:tcW w:w="1076" w:type="dxa"/>
            <w:tcBorders>
              <w:top w:val="nil"/>
              <w:left w:val="nil"/>
              <w:bottom w:val="nil"/>
              <w:right w:val="single" w:sz="4" w:space="0" w:color="auto"/>
            </w:tcBorders>
            <w:shd w:val="clear" w:color="000000" w:fill="FFFFFF"/>
            <w:noWrap/>
            <w:vAlign w:val="bottom"/>
            <w:hideMark/>
          </w:tcPr>
          <w:p w14:paraId="0515B55A"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0.07</w:t>
            </w:r>
          </w:p>
        </w:tc>
        <w:tc>
          <w:tcPr>
            <w:tcW w:w="989" w:type="dxa"/>
            <w:tcBorders>
              <w:top w:val="nil"/>
              <w:left w:val="nil"/>
              <w:bottom w:val="nil"/>
              <w:right w:val="nil"/>
            </w:tcBorders>
            <w:shd w:val="clear" w:color="000000" w:fill="FFFFFF"/>
            <w:noWrap/>
            <w:vAlign w:val="bottom"/>
            <w:hideMark/>
          </w:tcPr>
          <w:p w14:paraId="2CDAE7F5" w14:textId="77777777" w:rsidR="00DB5021" w:rsidRPr="00DB5021" w:rsidRDefault="00DB5021" w:rsidP="00DB5021">
            <w:pPr>
              <w:ind w:firstLineChars="100" w:firstLine="220"/>
              <w:jc w:val="center"/>
              <w:rPr>
                <w:rFonts w:cs="Calibri"/>
                <w:sz w:val="22"/>
                <w:szCs w:val="22"/>
              </w:rPr>
            </w:pPr>
            <w:r w:rsidRPr="00DB5021">
              <w:rPr>
                <w:rFonts w:cs="Calibri"/>
                <w:sz w:val="22"/>
                <w:szCs w:val="22"/>
              </w:rPr>
              <w:t>1.06</w:t>
            </w:r>
          </w:p>
        </w:tc>
        <w:tc>
          <w:tcPr>
            <w:tcW w:w="1099" w:type="dxa"/>
            <w:tcBorders>
              <w:top w:val="nil"/>
              <w:left w:val="nil"/>
              <w:bottom w:val="nil"/>
              <w:right w:val="nil"/>
            </w:tcBorders>
            <w:shd w:val="clear" w:color="000000" w:fill="FFFFFF"/>
            <w:noWrap/>
            <w:vAlign w:val="bottom"/>
            <w:hideMark/>
          </w:tcPr>
          <w:p w14:paraId="65016690"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0.064</w:t>
            </w:r>
          </w:p>
        </w:tc>
        <w:tc>
          <w:tcPr>
            <w:tcW w:w="850" w:type="dxa"/>
            <w:tcBorders>
              <w:top w:val="nil"/>
              <w:left w:val="single" w:sz="4" w:space="0" w:color="auto"/>
              <w:bottom w:val="nil"/>
              <w:right w:val="single" w:sz="4" w:space="0" w:color="auto"/>
            </w:tcBorders>
            <w:shd w:val="clear" w:color="000000" w:fill="FFFFFF"/>
            <w:noWrap/>
            <w:vAlign w:val="bottom"/>
            <w:hideMark/>
          </w:tcPr>
          <w:p w14:paraId="01C883E0" w14:textId="77777777" w:rsidR="00DB5021" w:rsidRPr="00DB5021" w:rsidRDefault="00DB5021" w:rsidP="00DB5021">
            <w:pPr>
              <w:jc w:val="center"/>
              <w:rPr>
                <w:rFonts w:cs="Calibri"/>
                <w:sz w:val="22"/>
                <w:szCs w:val="22"/>
              </w:rPr>
            </w:pPr>
            <w:r w:rsidRPr="00DB5021">
              <w:rPr>
                <w:rFonts w:cs="Calibri"/>
                <w:sz w:val="22"/>
                <w:szCs w:val="22"/>
              </w:rPr>
              <w:t>6.0%</w:t>
            </w:r>
          </w:p>
        </w:tc>
        <w:tc>
          <w:tcPr>
            <w:tcW w:w="960" w:type="dxa"/>
            <w:tcBorders>
              <w:top w:val="nil"/>
              <w:left w:val="nil"/>
              <w:bottom w:val="nil"/>
              <w:right w:val="single" w:sz="4" w:space="0" w:color="auto"/>
            </w:tcBorders>
            <w:shd w:val="clear" w:color="000000" w:fill="FFFFFF"/>
            <w:noWrap/>
            <w:vAlign w:val="bottom"/>
            <w:hideMark/>
          </w:tcPr>
          <w:p w14:paraId="0477C886" w14:textId="77777777" w:rsidR="00DB5021" w:rsidRPr="00DB5021" w:rsidRDefault="00DB5021" w:rsidP="00DB5021">
            <w:pPr>
              <w:jc w:val="center"/>
              <w:rPr>
                <w:rFonts w:cs="Calibri"/>
                <w:sz w:val="22"/>
                <w:szCs w:val="22"/>
              </w:rPr>
            </w:pPr>
            <w:r w:rsidRPr="00DB5021">
              <w:rPr>
                <w:rFonts w:cs="Calibri"/>
                <w:sz w:val="22"/>
                <w:szCs w:val="22"/>
              </w:rPr>
              <w:t>80</w:t>
            </w:r>
          </w:p>
        </w:tc>
      </w:tr>
      <w:tr w:rsidR="00CB118F" w:rsidRPr="00DB5021" w14:paraId="09A249B3" w14:textId="77777777" w:rsidTr="001F6415">
        <w:trPr>
          <w:trHeight w:val="20"/>
          <w:jc w:val="center"/>
        </w:trPr>
        <w:tc>
          <w:tcPr>
            <w:tcW w:w="1200" w:type="dxa"/>
            <w:tcBorders>
              <w:top w:val="nil"/>
              <w:left w:val="single" w:sz="4" w:space="0" w:color="auto"/>
              <w:bottom w:val="nil"/>
              <w:right w:val="nil"/>
            </w:tcBorders>
            <w:shd w:val="clear" w:color="000000" w:fill="FFFFFF"/>
            <w:noWrap/>
            <w:vAlign w:val="bottom"/>
            <w:hideMark/>
          </w:tcPr>
          <w:p w14:paraId="7BEF7C3D" w14:textId="77777777" w:rsidR="00DB5021" w:rsidRPr="00DB5021" w:rsidRDefault="00DB5021" w:rsidP="00DB5021">
            <w:pPr>
              <w:ind w:firstLineChars="100" w:firstLine="220"/>
              <w:jc w:val="right"/>
              <w:rPr>
                <w:rFonts w:cs="Calibri"/>
                <w:sz w:val="22"/>
                <w:szCs w:val="22"/>
              </w:rPr>
            </w:pPr>
            <w:r w:rsidRPr="00DB5021">
              <w:rPr>
                <w:rFonts w:cs="Calibri"/>
                <w:sz w:val="22"/>
                <w:szCs w:val="22"/>
              </w:rPr>
              <w:t>Aug-17</w:t>
            </w:r>
          </w:p>
        </w:tc>
        <w:tc>
          <w:tcPr>
            <w:tcW w:w="960" w:type="dxa"/>
            <w:tcBorders>
              <w:top w:val="nil"/>
              <w:left w:val="single" w:sz="4" w:space="0" w:color="auto"/>
              <w:bottom w:val="nil"/>
              <w:right w:val="single" w:sz="4" w:space="0" w:color="auto"/>
            </w:tcBorders>
            <w:shd w:val="clear" w:color="000000" w:fill="FFFFFF"/>
            <w:noWrap/>
            <w:vAlign w:val="bottom"/>
            <w:hideMark/>
          </w:tcPr>
          <w:p w14:paraId="2D7E1EDC" w14:textId="77777777" w:rsidR="00DB5021" w:rsidRPr="00DB5021" w:rsidRDefault="00DB5021" w:rsidP="00DB5021">
            <w:pPr>
              <w:jc w:val="center"/>
              <w:rPr>
                <w:rFonts w:cs="Calibri"/>
                <w:sz w:val="22"/>
                <w:szCs w:val="22"/>
              </w:rPr>
            </w:pPr>
            <w:r w:rsidRPr="00DB5021">
              <w:rPr>
                <w:rFonts w:cs="Calibri"/>
                <w:sz w:val="22"/>
                <w:szCs w:val="22"/>
              </w:rPr>
              <w:t>All</w:t>
            </w:r>
          </w:p>
        </w:tc>
        <w:tc>
          <w:tcPr>
            <w:tcW w:w="975" w:type="dxa"/>
            <w:tcBorders>
              <w:top w:val="nil"/>
              <w:left w:val="nil"/>
              <w:bottom w:val="nil"/>
              <w:right w:val="nil"/>
            </w:tcBorders>
            <w:shd w:val="clear" w:color="000000" w:fill="FFFFFF"/>
            <w:noWrap/>
            <w:vAlign w:val="bottom"/>
            <w:hideMark/>
          </w:tcPr>
          <w:p w14:paraId="5A72BAC2" w14:textId="77777777" w:rsidR="00DB5021" w:rsidRPr="00DB5021" w:rsidRDefault="00DB5021" w:rsidP="00313EEB">
            <w:pPr>
              <w:ind w:firstLineChars="100" w:firstLine="220"/>
              <w:jc w:val="right"/>
              <w:rPr>
                <w:rFonts w:cs="Calibri"/>
                <w:sz w:val="22"/>
                <w:szCs w:val="22"/>
              </w:rPr>
            </w:pPr>
            <w:r w:rsidRPr="00DB5021">
              <w:rPr>
                <w:rFonts w:cs="Calibri"/>
                <w:sz w:val="22"/>
                <w:szCs w:val="22"/>
              </w:rPr>
              <w:t>1,412</w:t>
            </w:r>
          </w:p>
        </w:tc>
        <w:tc>
          <w:tcPr>
            <w:tcW w:w="1076" w:type="dxa"/>
            <w:tcBorders>
              <w:top w:val="nil"/>
              <w:left w:val="single" w:sz="4" w:space="0" w:color="auto"/>
              <w:bottom w:val="nil"/>
              <w:right w:val="nil"/>
            </w:tcBorders>
            <w:shd w:val="clear" w:color="000000" w:fill="FFFFFF"/>
            <w:noWrap/>
            <w:vAlign w:val="bottom"/>
            <w:hideMark/>
          </w:tcPr>
          <w:p w14:paraId="7E738056" w14:textId="77777777" w:rsidR="00DB5021" w:rsidRPr="00DB5021" w:rsidRDefault="00DB5021" w:rsidP="00DB5021">
            <w:pPr>
              <w:ind w:firstLineChars="100" w:firstLine="220"/>
              <w:jc w:val="center"/>
              <w:rPr>
                <w:rFonts w:cs="Calibri"/>
                <w:sz w:val="22"/>
                <w:szCs w:val="22"/>
              </w:rPr>
            </w:pPr>
            <w:r w:rsidRPr="00DB5021">
              <w:rPr>
                <w:rFonts w:cs="Calibri"/>
                <w:sz w:val="22"/>
                <w:szCs w:val="22"/>
              </w:rPr>
              <w:t>1.46</w:t>
            </w:r>
          </w:p>
        </w:tc>
        <w:tc>
          <w:tcPr>
            <w:tcW w:w="1076" w:type="dxa"/>
            <w:tcBorders>
              <w:top w:val="nil"/>
              <w:left w:val="nil"/>
              <w:bottom w:val="nil"/>
              <w:right w:val="single" w:sz="4" w:space="0" w:color="auto"/>
            </w:tcBorders>
            <w:shd w:val="clear" w:color="000000" w:fill="FFFFFF"/>
            <w:noWrap/>
            <w:vAlign w:val="bottom"/>
            <w:hideMark/>
          </w:tcPr>
          <w:p w14:paraId="300F579B"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0.09</w:t>
            </w:r>
          </w:p>
        </w:tc>
        <w:tc>
          <w:tcPr>
            <w:tcW w:w="989" w:type="dxa"/>
            <w:tcBorders>
              <w:top w:val="nil"/>
              <w:left w:val="nil"/>
              <w:bottom w:val="nil"/>
              <w:right w:val="nil"/>
            </w:tcBorders>
            <w:shd w:val="clear" w:color="000000" w:fill="FFFFFF"/>
            <w:noWrap/>
            <w:vAlign w:val="bottom"/>
            <w:hideMark/>
          </w:tcPr>
          <w:p w14:paraId="57A0B298" w14:textId="77777777" w:rsidR="00DB5021" w:rsidRPr="00DB5021" w:rsidRDefault="00DB5021" w:rsidP="00DB5021">
            <w:pPr>
              <w:ind w:firstLineChars="100" w:firstLine="220"/>
              <w:jc w:val="center"/>
              <w:rPr>
                <w:rFonts w:cs="Calibri"/>
                <w:sz w:val="22"/>
                <w:szCs w:val="22"/>
              </w:rPr>
            </w:pPr>
            <w:r w:rsidRPr="00DB5021">
              <w:rPr>
                <w:rFonts w:cs="Calibri"/>
                <w:sz w:val="22"/>
                <w:szCs w:val="22"/>
              </w:rPr>
              <w:t>1.04</w:t>
            </w:r>
          </w:p>
        </w:tc>
        <w:tc>
          <w:tcPr>
            <w:tcW w:w="1099" w:type="dxa"/>
            <w:tcBorders>
              <w:top w:val="nil"/>
              <w:left w:val="nil"/>
              <w:bottom w:val="nil"/>
              <w:right w:val="nil"/>
            </w:tcBorders>
            <w:shd w:val="clear" w:color="000000" w:fill="FFFFFF"/>
            <w:noWrap/>
            <w:vAlign w:val="bottom"/>
            <w:hideMark/>
          </w:tcPr>
          <w:p w14:paraId="4AF05087"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0.063</w:t>
            </w:r>
          </w:p>
        </w:tc>
        <w:tc>
          <w:tcPr>
            <w:tcW w:w="850" w:type="dxa"/>
            <w:tcBorders>
              <w:top w:val="nil"/>
              <w:left w:val="single" w:sz="4" w:space="0" w:color="auto"/>
              <w:bottom w:val="nil"/>
              <w:right w:val="single" w:sz="4" w:space="0" w:color="auto"/>
            </w:tcBorders>
            <w:shd w:val="clear" w:color="000000" w:fill="FFFFFF"/>
            <w:noWrap/>
            <w:vAlign w:val="bottom"/>
            <w:hideMark/>
          </w:tcPr>
          <w:p w14:paraId="004E26AF" w14:textId="77777777" w:rsidR="00DB5021" w:rsidRPr="00DB5021" w:rsidRDefault="00DB5021" w:rsidP="00DB5021">
            <w:pPr>
              <w:jc w:val="center"/>
              <w:rPr>
                <w:rFonts w:cs="Calibri"/>
                <w:sz w:val="22"/>
                <w:szCs w:val="22"/>
              </w:rPr>
            </w:pPr>
            <w:r w:rsidRPr="00DB5021">
              <w:rPr>
                <w:rFonts w:cs="Calibri"/>
                <w:sz w:val="22"/>
                <w:szCs w:val="22"/>
              </w:rPr>
              <w:t>6.1%</w:t>
            </w:r>
          </w:p>
        </w:tc>
        <w:tc>
          <w:tcPr>
            <w:tcW w:w="960" w:type="dxa"/>
            <w:tcBorders>
              <w:top w:val="nil"/>
              <w:left w:val="nil"/>
              <w:bottom w:val="nil"/>
              <w:right w:val="single" w:sz="4" w:space="0" w:color="auto"/>
            </w:tcBorders>
            <w:shd w:val="clear" w:color="000000" w:fill="FFFFFF"/>
            <w:noWrap/>
            <w:vAlign w:val="bottom"/>
            <w:hideMark/>
          </w:tcPr>
          <w:p w14:paraId="512EC0AB" w14:textId="77777777" w:rsidR="00DB5021" w:rsidRPr="00DB5021" w:rsidRDefault="00DB5021" w:rsidP="00DB5021">
            <w:pPr>
              <w:jc w:val="center"/>
              <w:rPr>
                <w:rFonts w:cs="Calibri"/>
                <w:sz w:val="22"/>
                <w:szCs w:val="22"/>
              </w:rPr>
            </w:pPr>
            <w:r w:rsidRPr="00DB5021">
              <w:rPr>
                <w:rFonts w:cs="Calibri"/>
                <w:sz w:val="22"/>
                <w:szCs w:val="22"/>
              </w:rPr>
              <w:t>79</w:t>
            </w:r>
          </w:p>
        </w:tc>
      </w:tr>
      <w:tr w:rsidR="00CB118F" w:rsidRPr="00DB5021" w14:paraId="6D410B94" w14:textId="77777777" w:rsidTr="001F6415">
        <w:trPr>
          <w:trHeight w:val="20"/>
          <w:jc w:val="center"/>
        </w:trPr>
        <w:tc>
          <w:tcPr>
            <w:tcW w:w="1200" w:type="dxa"/>
            <w:tcBorders>
              <w:top w:val="nil"/>
              <w:left w:val="single" w:sz="4" w:space="0" w:color="auto"/>
              <w:bottom w:val="single" w:sz="4" w:space="0" w:color="auto"/>
              <w:right w:val="single" w:sz="4" w:space="0" w:color="auto"/>
            </w:tcBorders>
            <w:shd w:val="clear" w:color="000000" w:fill="FFFFFF"/>
            <w:noWrap/>
            <w:vAlign w:val="bottom"/>
            <w:hideMark/>
          </w:tcPr>
          <w:p w14:paraId="31F21745" w14:textId="77777777" w:rsidR="00DB5021" w:rsidRPr="00DB5021" w:rsidRDefault="00DB5021" w:rsidP="00DB5021">
            <w:pPr>
              <w:ind w:firstLineChars="100" w:firstLine="220"/>
              <w:jc w:val="right"/>
              <w:rPr>
                <w:rFonts w:cs="Calibri"/>
                <w:sz w:val="22"/>
                <w:szCs w:val="22"/>
              </w:rPr>
            </w:pPr>
            <w:r w:rsidRPr="00DB5021">
              <w:rPr>
                <w:rFonts w:cs="Calibri"/>
                <w:sz w:val="22"/>
                <w:szCs w:val="22"/>
              </w:rPr>
              <w:t>Sep-17</w:t>
            </w:r>
          </w:p>
        </w:tc>
        <w:tc>
          <w:tcPr>
            <w:tcW w:w="960" w:type="dxa"/>
            <w:tcBorders>
              <w:top w:val="nil"/>
              <w:left w:val="nil"/>
              <w:bottom w:val="single" w:sz="4" w:space="0" w:color="auto"/>
              <w:right w:val="single" w:sz="4" w:space="0" w:color="auto"/>
            </w:tcBorders>
            <w:shd w:val="clear" w:color="000000" w:fill="FFFFFF"/>
            <w:noWrap/>
            <w:vAlign w:val="bottom"/>
            <w:hideMark/>
          </w:tcPr>
          <w:p w14:paraId="2F73713B" w14:textId="77777777" w:rsidR="00DB5021" w:rsidRPr="00DB5021" w:rsidRDefault="00DB5021" w:rsidP="00DB5021">
            <w:pPr>
              <w:jc w:val="center"/>
              <w:rPr>
                <w:rFonts w:cs="Calibri"/>
                <w:sz w:val="22"/>
                <w:szCs w:val="22"/>
              </w:rPr>
            </w:pPr>
            <w:r w:rsidRPr="00DB5021">
              <w:rPr>
                <w:rFonts w:cs="Calibri"/>
                <w:sz w:val="22"/>
                <w:szCs w:val="22"/>
              </w:rPr>
              <w:t>All</w:t>
            </w:r>
          </w:p>
        </w:tc>
        <w:tc>
          <w:tcPr>
            <w:tcW w:w="975" w:type="dxa"/>
            <w:tcBorders>
              <w:top w:val="nil"/>
              <w:left w:val="nil"/>
              <w:bottom w:val="single" w:sz="4" w:space="0" w:color="auto"/>
              <w:right w:val="nil"/>
            </w:tcBorders>
            <w:shd w:val="clear" w:color="000000" w:fill="FFFFFF"/>
            <w:noWrap/>
            <w:vAlign w:val="bottom"/>
            <w:hideMark/>
          </w:tcPr>
          <w:p w14:paraId="7ACBC2FD" w14:textId="77777777" w:rsidR="00DB5021" w:rsidRPr="00DB5021" w:rsidRDefault="00DB5021" w:rsidP="00313EEB">
            <w:pPr>
              <w:ind w:firstLineChars="100" w:firstLine="220"/>
              <w:jc w:val="right"/>
              <w:rPr>
                <w:rFonts w:cs="Calibri"/>
                <w:sz w:val="22"/>
                <w:szCs w:val="22"/>
              </w:rPr>
            </w:pPr>
            <w:r w:rsidRPr="00DB5021">
              <w:rPr>
                <w:rFonts w:cs="Calibri"/>
                <w:sz w:val="22"/>
                <w:szCs w:val="22"/>
              </w:rPr>
              <w:t>1,559</w:t>
            </w:r>
          </w:p>
        </w:tc>
        <w:tc>
          <w:tcPr>
            <w:tcW w:w="1076" w:type="dxa"/>
            <w:tcBorders>
              <w:top w:val="nil"/>
              <w:left w:val="single" w:sz="4" w:space="0" w:color="auto"/>
              <w:bottom w:val="single" w:sz="4" w:space="0" w:color="auto"/>
              <w:right w:val="nil"/>
            </w:tcBorders>
            <w:shd w:val="clear" w:color="000000" w:fill="FFFFFF"/>
            <w:noWrap/>
            <w:vAlign w:val="bottom"/>
            <w:hideMark/>
          </w:tcPr>
          <w:p w14:paraId="76046CF3" w14:textId="77777777" w:rsidR="00DB5021" w:rsidRPr="00DB5021" w:rsidRDefault="00DB5021" w:rsidP="00DB5021">
            <w:pPr>
              <w:ind w:firstLineChars="100" w:firstLine="220"/>
              <w:jc w:val="center"/>
              <w:rPr>
                <w:rFonts w:cs="Calibri"/>
                <w:sz w:val="22"/>
                <w:szCs w:val="22"/>
              </w:rPr>
            </w:pPr>
            <w:r w:rsidRPr="00DB5021">
              <w:rPr>
                <w:rFonts w:cs="Calibri"/>
                <w:sz w:val="22"/>
                <w:szCs w:val="22"/>
              </w:rPr>
              <w:t>1.37</w:t>
            </w:r>
          </w:p>
        </w:tc>
        <w:tc>
          <w:tcPr>
            <w:tcW w:w="1076" w:type="dxa"/>
            <w:tcBorders>
              <w:top w:val="nil"/>
              <w:left w:val="nil"/>
              <w:bottom w:val="single" w:sz="4" w:space="0" w:color="auto"/>
              <w:right w:val="single" w:sz="4" w:space="0" w:color="auto"/>
            </w:tcBorders>
            <w:shd w:val="clear" w:color="000000" w:fill="FFFFFF"/>
            <w:noWrap/>
            <w:vAlign w:val="bottom"/>
            <w:hideMark/>
          </w:tcPr>
          <w:p w14:paraId="22D4AF06"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0.08</w:t>
            </w:r>
          </w:p>
        </w:tc>
        <w:tc>
          <w:tcPr>
            <w:tcW w:w="989" w:type="dxa"/>
            <w:tcBorders>
              <w:top w:val="nil"/>
              <w:left w:val="nil"/>
              <w:bottom w:val="single" w:sz="4" w:space="0" w:color="auto"/>
              <w:right w:val="nil"/>
            </w:tcBorders>
            <w:shd w:val="clear" w:color="000000" w:fill="FFFFFF"/>
            <w:noWrap/>
            <w:vAlign w:val="bottom"/>
            <w:hideMark/>
          </w:tcPr>
          <w:p w14:paraId="544B3FB0"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0.88</w:t>
            </w:r>
          </w:p>
        </w:tc>
        <w:tc>
          <w:tcPr>
            <w:tcW w:w="1099" w:type="dxa"/>
            <w:tcBorders>
              <w:top w:val="nil"/>
              <w:left w:val="nil"/>
              <w:bottom w:val="single" w:sz="4" w:space="0" w:color="auto"/>
              <w:right w:val="nil"/>
            </w:tcBorders>
            <w:shd w:val="clear" w:color="000000" w:fill="FFFFFF"/>
            <w:noWrap/>
            <w:vAlign w:val="bottom"/>
            <w:hideMark/>
          </w:tcPr>
          <w:p w14:paraId="65D719DA" w14:textId="77777777" w:rsidR="00DB5021" w:rsidRPr="00DB5021" w:rsidRDefault="00DB5021" w:rsidP="00DB5021">
            <w:pPr>
              <w:ind w:firstLineChars="100" w:firstLine="220"/>
              <w:jc w:val="center"/>
              <w:rPr>
                <w:rFonts w:cs="Calibri"/>
                <w:sz w:val="22"/>
                <w:szCs w:val="22"/>
              </w:rPr>
            </w:pPr>
            <w:r w:rsidRPr="00DB5021">
              <w:rPr>
                <w:rFonts w:cs="Calibri"/>
                <w:sz w:val="22"/>
                <w:szCs w:val="22"/>
              </w:rPr>
              <w:t>0.053</w:t>
            </w:r>
          </w:p>
        </w:tc>
        <w:tc>
          <w:tcPr>
            <w:tcW w:w="850" w:type="dxa"/>
            <w:tcBorders>
              <w:top w:val="nil"/>
              <w:left w:val="single" w:sz="4" w:space="0" w:color="auto"/>
              <w:bottom w:val="single" w:sz="4" w:space="0" w:color="auto"/>
              <w:right w:val="single" w:sz="4" w:space="0" w:color="auto"/>
            </w:tcBorders>
            <w:shd w:val="clear" w:color="000000" w:fill="FFFFFF"/>
            <w:noWrap/>
            <w:vAlign w:val="bottom"/>
            <w:hideMark/>
          </w:tcPr>
          <w:p w14:paraId="0807B503" w14:textId="77777777" w:rsidR="00DB5021" w:rsidRPr="00DB5021" w:rsidRDefault="00DB5021" w:rsidP="00DB5021">
            <w:pPr>
              <w:jc w:val="center"/>
              <w:rPr>
                <w:rFonts w:cs="Calibri"/>
                <w:sz w:val="22"/>
                <w:szCs w:val="22"/>
              </w:rPr>
            </w:pPr>
            <w:r w:rsidRPr="00DB5021">
              <w:rPr>
                <w:rFonts w:cs="Calibri"/>
                <w:sz w:val="22"/>
                <w:szCs w:val="22"/>
              </w:rPr>
              <w:t>6.0%</w:t>
            </w:r>
          </w:p>
        </w:tc>
        <w:tc>
          <w:tcPr>
            <w:tcW w:w="960" w:type="dxa"/>
            <w:tcBorders>
              <w:top w:val="nil"/>
              <w:left w:val="nil"/>
              <w:bottom w:val="single" w:sz="4" w:space="0" w:color="auto"/>
              <w:right w:val="single" w:sz="4" w:space="0" w:color="auto"/>
            </w:tcBorders>
            <w:shd w:val="clear" w:color="000000" w:fill="FFFFFF"/>
            <w:noWrap/>
            <w:vAlign w:val="bottom"/>
            <w:hideMark/>
          </w:tcPr>
          <w:p w14:paraId="2AB7EE63" w14:textId="77777777" w:rsidR="00DB5021" w:rsidRPr="00DB5021" w:rsidRDefault="00DB5021" w:rsidP="00DB5021">
            <w:pPr>
              <w:jc w:val="center"/>
              <w:rPr>
                <w:rFonts w:cs="Calibri"/>
                <w:sz w:val="22"/>
                <w:szCs w:val="22"/>
              </w:rPr>
            </w:pPr>
            <w:r w:rsidRPr="00DB5021">
              <w:rPr>
                <w:rFonts w:cs="Calibri"/>
                <w:sz w:val="22"/>
                <w:szCs w:val="22"/>
              </w:rPr>
              <w:t>78</w:t>
            </w:r>
          </w:p>
        </w:tc>
      </w:tr>
    </w:tbl>
    <w:p w14:paraId="1B9ABEE2" w14:textId="77777777" w:rsidR="00DB5021" w:rsidRDefault="00DB5021" w:rsidP="00237521"/>
    <w:p w14:paraId="210BCDCB" w14:textId="2248834B" w:rsidR="006D42C7" w:rsidRDefault="006D42C7" w:rsidP="00095AB1">
      <w:pPr>
        <w:spacing w:after="120"/>
      </w:pPr>
      <w:r>
        <w:t xml:space="preserve">Table ES.3 shows </w:t>
      </w:r>
      <w:r w:rsidR="003321E8">
        <w:t xml:space="preserve">peak load impact </w:t>
      </w:r>
      <w:r>
        <w:t>results by season and climate zone. Because of relativel</w:t>
      </w:r>
      <w:r w:rsidR="006B730E">
        <w:t>y low enrollment in October 2016</w:t>
      </w:r>
      <w:r>
        <w:t xml:space="preserve"> and the discontinuity between that month and the summer of 201</w:t>
      </w:r>
      <w:r w:rsidR="006B730E">
        <w:t>7</w:t>
      </w:r>
      <w:r>
        <w:t>, the results for the summer season include only</w:t>
      </w:r>
      <w:r w:rsidR="006B730E">
        <w:t xml:space="preserve"> May through September of 2017</w:t>
      </w:r>
      <w:r>
        <w:t xml:space="preserve">. Summer peak load impacts were similar in percentage terms for the two climate zones. However, </w:t>
      </w:r>
      <w:r w:rsidR="006B730E">
        <w:t xml:space="preserve">during the winter month peak periods, Coastal customers </w:t>
      </w:r>
      <w:r w:rsidR="006B730E" w:rsidRPr="006B730E">
        <w:rPr>
          <w:i/>
        </w:rPr>
        <w:t>increased</w:t>
      </w:r>
      <w:r w:rsidR="006B730E">
        <w:t xml:space="preserve"> usage almost three times higher than Inland customers</w:t>
      </w:r>
      <w:r w:rsidR="00F048D1">
        <w:t>, though the increases were not statistically significant</w:t>
      </w:r>
      <w:r w:rsidR="006B730E">
        <w:t xml:space="preserve">. </w:t>
      </w:r>
    </w:p>
    <w:p w14:paraId="2612691F" w14:textId="126CB0F1" w:rsidR="00102EF1" w:rsidRDefault="006D42C7" w:rsidP="00102EF1">
      <w:pPr>
        <w:pStyle w:val="TableCaption"/>
        <w:keepNext/>
        <w:keepLines/>
        <w:rPr>
          <w:i/>
        </w:rPr>
      </w:pPr>
      <w:bookmarkStart w:id="30" w:name="_Toc509576786"/>
      <w:r>
        <w:lastRenderedPageBreak/>
        <w:t xml:space="preserve">Table ES.3: TOU Peak Load Impacts </w:t>
      </w:r>
      <w:r w:rsidR="006D4EEC">
        <w:t>for TOU Customers</w:t>
      </w:r>
      <w:r w:rsidR="0026102E">
        <w:t xml:space="preserve"> </w:t>
      </w:r>
      <w:r>
        <w:t xml:space="preserve">– </w:t>
      </w:r>
      <w:r>
        <w:br/>
      </w:r>
      <w:r w:rsidRPr="00222B7F">
        <w:rPr>
          <w:i/>
        </w:rPr>
        <w:t xml:space="preserve">Average Weekday by </w:t>
      </w:r>
      <w:r>
        <w:rPr>
          <w:i/>
        </w:rPr>
        <w:t>Season &amp; Climate Zone</w:t>
      </w:r>
      <w:bookmarkEnd w:id="30"/>
    </w:p>
    <w:tbl>
      <w:tblPr>
        <w:tblW w:w="8840" w:type="dxa"/>
        <w:jc w:val="center"/>
        <w:tblLook w:val="04A0" w:firstRow="1" w:lastRow="0" w:firstColumn="1" w:lastColumn="0" w:noHBand="0" w:noVBand="1"/>
      </w:tblPr>
      <w:tblGrid>
        <w:gridCol w:w="971"/>
        <w:gridCol w:w="960"/>
        <w:gridCol w:w="1140"/>
        <w:gridCol w:w="1076"/>
        <w:gridCol w:w="1076"/>
        <w:gridCol w:w="989"/>
        <w:gridCol w:w="989"/>
        <w:gridCol w:w="960"/>
        <w:gridCol w:w="960"/>
      </w:tblGrid>
      <w:tr w:rsidR="00102EF1" w:rsidRPr="00102EF1" w14:paraId="329D4497" w14:textId="77777777" w:rsidTr="00237521">
        <w:trPr>
          <w:trHeight w:val="20"/>
          <w:jc w:val="center"/>
        </w:trPr>
        <w:tc>
          <w:tcPr>
            <w:tcW w:w="960" w:type="dxa"/>
            <w:tcBorders>
              <w:top w:val="single" w:sz="4" w:space="0" w:color="auto"/>
              <w:left w:val="single" w:sz="4" w:space="0" w:color="auto"/>
              <w:bottom w:val="nil"/>
              <w:right w:val="nil"/>
            </w:tcBorders>
            <w:shd w:val="clear" w:color="000000" w:fill="132577"/>
            <w:noWrap/>
            <w:vAlign w:val="bottom"/>
            <w:hideMark/>
          </w:tcPr>
          <w:p w14:paraId="4FD133B9" w14:textId="77777777" w:rsidR="00102EF1" w:rsidRPr="00102EF1" w:rsidRDefault="00102EF1" w:rsidP="00102EF1">
            <w:pPr>
              <w:keepNext/>
              <w:rPr>
                <w:rFonts w:cs="Calibri"/>
                <w:color w:val="FFFFFF"/>
                <w:sz w:val="22"/>
                <w:szCs w:val="22"/>
              </w:rPr>
            </w:pPr>
            <w:r w:rsidRPr="00102EF1">
              <w:rPr>
                <w:rFonts w:cs="Calibri"/>
                <w:color w:val="FFFFFF"/>
                <w:sz w:val="22"/>
                <w:szCs w:val="22"/>
              </w:rPr>
              <w:t> </w:t>
            </w:r>
          </w:p>
        </w:tc>
        <w:tc>
          <w:tcPr>
            <w:tcW w:w="960" w:type="dxa"/>
            <w:tcBorders>
              <w:top w:val="single" w:sz="4" w:space="0" w:color="auto"/>
              <w:left w:val="single" w:sz="4" w:space="0" w:color="FFFFFF"/>
              <w:bottom w:val="nil"/>
              <w:right w:val="single" w:sz="4" w:space="0" w:color="FFFFFF"/>
            </w:tcBorders>
            <w:shd w:val="clear" w:color="000000" w:fill="132577"/>
            <w:noWrap/>
            <w:vAlign w:val="bottom"/>
            <w:hideMark/>
          </w:tcPr>
          <w:p w14:paraId="27BA12DB" w14:textId="77777777" w:rsidR="00102EF1" w:rsidRPr="00102EF1" w:rsidRDefault="00102EF1" w:rsidP="00102EF1">
            <w:pPr>
              <w:keepNext/>
              <w:rPr>
                <w:rFonts w:cs="Calibri"/>
                <w:color w:val="FFFFFF"/>
                <w:sz w:val="22"/>
                <w:szCs w:val="22"/>
              </w:rPr>
            </w:pPr>
            <w:r w:rsidRPr="00102EF1">
              <w:rPr>
                <w:rFonts w:cs="Calibri"/>
                <w:color w:val="FFFFFF"/>
                <w:sz w:val="22"/>
                <w:szCs w:val="22"/>
              </w:rPr>
              <w:t> </w:t>
            </w:r>
          </w:p>
        </w:tc>
        <w:tc>
          <w:tcPr>
            <w:tcW w:w="1140" w:type="dxa"/>
            <w:tcBorders>
              <w:top w:val="single" w:sz="4" w:space="0" w:color="auto"/>
              <w:left w:val="nil"/>
              <w:bottom w:val="nil"/>
              <w:right w:val="single" w:sz="4" w:space="0" w:color="FFFFFF"/>
            </w:tcBorders>
            <w:shd w:val="clear" w:color="000000" w:fill="132577"/>
            <w:noWrap/>
            <w:vAlign w:val="bottom"/>
            <w:hideMark/>
          </w:tcPr>
          <w:p w14:paraId="28721C73" w14:textId="77777777" w:rsidR="00102EF1" w:rsidRPr="00102EF1" w:rsidRDefault="00102EF1" w:rsidP="00102EF1">
            <w:pPr>
              <w:keepNext/>
              <w:rPr>
                <w:rFonts w:cs="Calibri"/>
                <w:color w:val="FFFFFF"/>
                <w:sz w:val="22"/>
                <w:szCs w:val="22"/>
              </w:rPr>
            </w:pPr>
            <w:r w:rsidRPr="00102EF1">
              <w:rPr>
                <w:rFonts w:cs="Calibri"/>
                <w:color w:val="FFFFFF"/>
                <w:sz w:val="22"/>
                <w:szCs w:val="22"/>
              </w:rPr>
              <w:t> </w:t>
            </w:r>
          </w:p>
        </w:tc>
        <w:tc>
          <w:tcPr>
            <w:tcW w:w="1960" w:type="dxa"/>
            <w:gridSpan w:val="2"/>
            <w:tcBorders>
              <w:top w:val="single" w:sz="4" w:space="0" w:color="auto"/>
              <w:left w:val="nil"/>
              <w:bottom w:val="single" w:sz="4" w:space="0" w:color="FFFFFF"/>
              <w:right w:val="single" w:sz="4" w:space="0" w:color="FFFFFF"/>
            </w:tcBorders>
            <w:shd w:val="clear" w:color="000000" w:fill="132577"/>
            <w:noWrap/>
            <w:vAlign w:val="bottom"/>
            <w:hideMark/>
          </w:tcPr>
          <w:p w14:paraId="3CBA26CB" w14:textId="77777777" w:rsidR="00102EF1" w:rsidRPr="00102EF1" w:rsidRDefault="00102EF1" w:rsidP="00102EF1">
            <w:pPr>
              <w:keepNext/>
              <w:jc w:val="center"/>
              <w:rPr>
                <w:rFonts w:cs="Calibri"/>
                <w:b/>
                <w:bCs/>
                <w:color w:val="FFFFFF"/>
                <w:sz w:val="22"/>
                <w:szCs w:val="22"/>
              </w:rPr>
            </w:pPr>
            <w:r w:rsidRPr="00102EF1">
              <w:rPr>
                <w:rFonts w:cs="Calibri"/>
                <w:b/>
                <w:bCs/>
                <w:color w:val="FFFFFF"/>
                <w:sz w:val="22"/>
                <w:szCs w:val="22"/>
              </w:rPr>
              <w:t>Aggregate</w:t>
            </w:r>
          </w:p>
        </w:tc>
        <w:tc>
          <w:tcPr>
            <w:tcW w:w="1900" w:type="dxa"/>
            <w:gridSpan w:val="2"/>
            <w:tcBorders>
              <w:top w:val="single" w:sz="4" w:space="0" w:color="auto"/>
              <w:left w:val="nil"/>
              <w:bottom w:val="single" w:sz="4" w:space="0" w:color="FFFFFF"/>
              <w:right w:val="nil"/>
            </w:tcBorders>
            <w:shd w:val="clear" w:color="000000" w:fill="132577"/>
            <w:noWrap/>
            <w:vAlign w:val="bottom"/>
            <w:hideMark/>
          </w:tcPr>
          <w:p w14:paraId="4C6F0A5E" w14:textId="77777777" w:rsidR="00102EF1" w:rsidRPr="00102EF1" w:rsidRDefault="00102EF1" w:rsidP="00102EF1">
            <w:pPr>
              <w:keepNext/>
              <w:jc w:val="center"/>
              <w:rPr>
                <w:rFonts w:cs="Calibri"/>
                <w:b/>
                <w:bCs/>
                <w:color w:val="FFFFFF"/>
                <w:sz w:val="22"/>
                <w:szCs w:val="22"/>
              </w:rPr>
            </w:pPr>
            <w:r w:rsidRPr="00102EF1">
              <w:rPr>
                <w:rFonts w:cs="Calibri"/>
                <w:b/>
                <w:bCs/>
                <w:color w:val="FFFFFF"/>
                <w:sz w:val="22"/>
                <w:szCs w:val="22"/>
              </w:rPr>
              <w:t>Per-Customer</w:t>
            </w:r>
          </w:p>
        </w:tc>
        <w:tc>
          <w:tcPr>
            <w:tcW w:w="960" w:type="dxa"/>
            <w:tcBorders>
              <w:top w:val="single" w:sz="4" w:space="0" w:color="auto"/>
              <w:left w:val="single" w:sz="4" w:space="0" w:color="FFFFFF"/>
              <w:bottom w:val="nil"/>
              <w:right w:val="single" w:sz="4" w:space="0" w:color="FFFFFF"/>
            </w:tcBorders>
            <w:shd w:val="clear" w:color="000000" w:fill="132577"/>
            <w:noWrap/>
            <w:vAlign w:val="bottom"/>
            <w:hideMark/>
          </w:tcPr>
          <w:p w14:paraId="5AEDA312" w14:textId="77777777" w:rsidR="00102EF1" w:rsidRPr="00102EF1" w:rsidRDefault="00102EF1" w:rsidP="00102EF1">
            <w:pPr>
              <w:keepNext/>
              <w:rPr>
                <w:rFonts w:cs="Calibri"/>
                <w:color w:val="FFFFFF"/>
                <w:sz w:val="22"/>
                <w:szCs w:val="22"/>
              </w:rPr>
            </w:pPr>
            <w:r w:rsidRPr="00102EF1">
              <w:rPr>
                <w:rFonts w:cs="Calibri"/>
                <w:color w:val="FFFFFF"/>
                <w:sz w:val="22"/>
                <w:szCs w:val="22"/>
              </w:rPr>
              <w:t> </w:t>
            </w:r>
          </w:p>
        </w:tc>
        <w:tc>
          <w:tcPr>
            <w:tcW w:w="960" w:type="dxa"/>
            <w:tcBorders>
              <w:top w:val="single" w:sz="4" w:space="0" w:color="auto"/>
              <w:left w:val="nil"/>
              <w:bottom w:val="nil"/>
              <w:right w:val="single" w:sz="4" w:space="0" w:color="auto"/>
            </w:tcBorders>
            <w:shd w:val="clear" w:color="000000" w:fill="132577"/>
            <w:noWrap/>
            <w:vAlign w:val="bottom"/>
            <w:hideMark/>
          </w:tcPr>
          <w:p w14:paraId="6995CB18" w14:textId="77777777" w:rsidR="00102EF1" w:rsidRPr="00102EF1" w:rsidRDefault="00102EF1" w:rsidP="00102EF1">
            <w:pPr>
              <w:keepNext/>
              <w:rPr>
                <w:rFonts w:cs="Calibri"/>
                <w:color w:val="FFFFFF"/>
                <w:sz w:val="22"/>
                <w:szCs w:val="22"/>
              </w:rPr>
            </w:pPr>
            <w:r w:rsidRPr="00102EF1">
              <w:rPr>
                <w:rFonts w:cs="Calibri"/>
                <w:color w:val="FFFFFF"/>
                <w:sz w:val="22"/>
                <w:szCs w:val="22"/>
              </w:rPr>
              <w:t> </w:t>
            </w:r>
          </w:p>
        </w:tc>
      </w:tr>
      <w:tr w:rsidR="00102EF1" w:rsidRPr="00102EF1" w14:paraId="2867EDF5" w14:textId="77777777" w:rsidTr="0010027E">
        <w:trPr>
          <w:trHeight w:val="20"/>
          <w:jc w:val="center"/>
        </w:trPr>
        <w:tc>
          <w:tcPr>
            <w:tcW w:w="960" w:type="dxa"/>
            <w:tcBorders>
              <w:top w:val="nil"/>
              <w:left w:val="single" w:sz="4" w:space="0" w:color="auto"/>
              <w:bottom w:val="nil"/>
              <w:right w:val="nil"/>
            </w:tcBorders>
            <w:shd w:val="clear" w:color="auto" w:fill="0C2577"/>
            <w:noWrap/>
            <w:vAlign w:val="bottom"/>
            <w:hideMark/>
          </w:tcPr>
          <w:p w14:paraId="565D2BC5" w14:textId="77777777" w:rsidR="00102EF1" w:rsidRPr="00102EF1" w:rsidRDefault="00102EF1" w:rsidP="00102EF1">
            <w:pPr>
              <w:keepNext/>
              <w:jc w:val="center"/>
              <w:rPr>
                <w:rFonts w:cs="Calibri"/>
                <w:b/>
                <w:bCs/>
                <w:color w:val="FFFFFF"/>
                <w:sz w:val="22"/>
                <w:szCs w:val="22"/>
              </w:rPr>
            </w:pPr>
            <w:r w:rsidRPr="00102EF1">
              <w:rPr>
                <w:rFonts w:cs="Calibri"/>
                <w:b/>
                <w:bCs/>
                <w:color w:val="FFFFFF"/>
                <w:sz w:val="22"/>
                <w:szCs w:val="22"/>
              </w:rPr>
              <w:t>Season</w:t>
            </w:r>
          </w:p>
        </w:tc>
        <w:tc>
          <w:tcPr>
            <w:tcW w:w="960" w:type="dxa"/>
            <w:tcBorders>
              <w:top w:val="nil"/>
              <w:left w:val="single" w:sz="4" w:space="0" w:color="FFFFFF"/>
              <w:bottom w:val="single" w:sz="4" w:space="0" w:color="auto"/>
              <w:right w:val="single" w:sz="4" w:space="0" w:color="FFFFFF"/>
            </w:tcBorders>
            <w:shd w:val="clear" w:color="auto" w:fill="0C2577"/>
            <w:vAlign w:val="bottom"/>
            <w:hideMark/>
          </w:tcPr>
          <w:p w14:paraId="4F651961" w14:textId="77777777" w:rsidR="00102EF1" w:rsidRPr="00102EF1" w:rsidRDefault="00102EF1" w:rsidP="00102EF1">
            <w:pPr>
              <w:keepNext/>
              <w:jc w:val="center"/>
              <w:rPr>
                <w:rFonts w:cs="Calibri"/>
                <w:b/>
                <w:bCs/>
                <w:color w:val="FFFFFF"/>
                <w:sz w:val="22"/>
                <w:szCs w:val="22"/>
              </w:rPr>
            </w:pPr>
            <w:r w:rsidRPr="00102EF1">
              <w:rPr>
                <w:rFonts w:cs="Calibri"/>
                <w:b/>
                <w:bCs/>
                <w:color w:val="FFFFFF"/>
                <w:sz w:val="22"/>
                <w:szCs w:val="22"/>
              </w:rPr>
              <w:t>Climate Zone</w:t>
            </w:r>
          </w:p>
        </w:tc>
        <w:tc>
          <w:tcPr>
            <w:tcW w:w="1140" w:type="dxa"/>
            <w:tcBorders>
              <w:top w:val="nil"/>
              <w:left w:val="nil"/>
              <w:bottom w:val="single" w:sz="4" w:space="0" w:color="auto"/>
              <w:right w:val="single" w:sz="4" w:space="0" w:color="FFFFFF"/>
            </w:tcBorders>
            <w:shd w:val="clear" w:color="auto" w:fill="0C2577"/>
            <w:vAlign w:val="bottom"/>
            <w:hideMark/>
          </w:tcPr>
          <w:p w14:paraId="748B7EE5" w14:textId="77777777" w:rsidR="00102EF1" w:rsidRPr="00102EF1" w:rsidRDefault="00102EF1" w:rsidP="00102EF1">
            <w:pPr>
              <w:keepNext/>
              <w:jc w:val="center"/>
              <w:rPr>
                <w:rFonts w:cs="Calibri"/>
                <w:b/>
                <w:bCs/>
                <w:color w:val="FFFFFF"/>
                <w:sz w:val="22"/>
                <w:szCs w:val="22"/>
              </w:rPr>
            </w:pPr>
            <w:r w:rsidRPr="00102EF1">
              <w:rPr>
                <w:rFonts w:cs="Calibri"/>
                <w:b/>
                <w:bCs/>
                <w:color w:val="FFFFFF"/>
                <w:sz w:val="22"/>
                <w:szCs w:val="22"/>
              </w:rPr>
              <w:t>Enrolled (Average)</w:t>
            </w:r>
          </w:p>
        </w:tc>
        <w:tc>
          <w:tcPr>
            <w:tcW w:w="960" w:type="dxa"/>
            <w:tcBorders>
              <w:top w:val="nil"/>
              <w:left w:val="nil"/>
              <w:bottom w:val="single" w:sz="4" w:space="0" w:color="auto"/>
              <w:right w:val="nil"/>
            </w:tcBorders>
            <w:shd w:val="clear" w:color="auto" w:fill="0C2577"/>
            <w:vAlign w:val="bottom"/>
            <w:hideMark/>
          </w:tcPr>
          <w:p w14:paraId="268FFD2C" w14:textId="77777777" w:rsidR="00102EF1" w:rsidRPr="00102EF1" w:rsidRDefault="00102EF1" w:rsidP="00102EF1">
            <w:pPr>
              <w:keepNext/>
              <w:jc w:val="center"/>
              <w:rPr>
                <w:rFonts w:cs="Calibri"/>
                <w:b/>
                <w:bCs/>
                <w:color w:val="FFFFFF"/>
                <w:sz w:val="22"/>
                <w:szCs w:val="22"/>
              </w:rPr>
            </w:pPr>
            <w:r w:rsidRPr="00102EF1">
              <w:rPr>
                <w:rFonts w:cs="Calibri"/>
                <w:b/>
                <w:bCs/>
                <w:color w:val="FFFFFF"/>
                <w:sz w:val="22"/>
                <w:szCs w:val="22"/>
              </w:rPr>
              <w:t>Peak Ref. Load (MWh/h)</w:t>
            </w:r>
          </w:p>
        </w:tc>
        <w:tc>
          <w:tcPr>
            <w:tcW w:w="1000" w:type="dxa"/>
            <w:tcBorders>
              <w:top w:val="nil"/>
              <w:left w:val="nil"/>
              <w:bottom w:val="single" w:sz="4" w:space="0" w:color="auto"/>
              <w:right w:val="single" w:sz="4" w:space="0" w:color="FFFFFF"/>
            </w:tcBorders>
            <w:shd w:val="clear" w:color="auto" w:fill="0C2577"/>
            <w:vAlign w:val="bottom"/>
            <w:hideMark/>
          </w:tcPr>
          <w:p w14:paraId="7CF03CB3" w14:textId="77777777" w:rsidR="00102EF1" w:rsidRPr="00102EF1" w:rsidRDefault="00102EF1" w:rsidP="00102EF1">
            <w:pPr>
              <w:keepNext/>
              <w:jc w:val="center"/>
              <w:rPr>
                <w:rFonts w:cs="Calibri"/>
                <w:b/>
                <w:bCs/>
                <w:color w:val="FFFFFF"/>
                <w:sz w:val="22"/>
                <w:szCs w:val="22"/>
              </w:rPr>
            </w:pPr>
            <w:r w:rsidRPr="00102EF1">
              <w:rPr>
                <w:rFonts w:cs="Calibri"/>
                <w:b/>
                <w:bCs/>
                <w:color w:val="FFFFFF"/>
                <w:sz w:val="22"/>
                <w:szCs w:val="22"/>
              </w:rPr>
              <w:t>Peak Load Impact (MWh/h)</w:t>
            </w:r>
          </w:p>
        </w:tc>
        <w:tc>
          <w:tcPr>
            <w:tcW w:w="940" w:type="dxa"/>
            <w:tcBorders>
              <w:top w:val="nil"/>
              <w:left w:val="nil"/>
              <w:bottom w:val="single" w:sz="4" w:space="0" w:color="auto"/>
              <w:right w:val="nil"/>
            </w:tcBorders>
            <w:shd w:val="clear" w:color="auto" w:fill="0C2577"/>
            <w:vAlign w:val="bottom"/>
            <w:hideMark/>
          </w:tcPr>
          <w:p w14:paraId="27559651" w14:textId="77777777" w:rsidR="00102EF1" w:rsidRPr="00102EF1" w:rsidRDefault="00102EF1" w:rsidP="00102EF1">
            <w:pPr>
              <w:keepNext/>
              <w:jc w:val="center"/>
              <w:rPr>
                <w:rFonts w:cs="Calibri"/>
                <w:b/>
                <w:bCs/>
                <w:color w:val="FFFFFF"/>
                <w:sz w:val="22"/>
                <w:szCs w:val="22"/>
              </w:rPr>
            </w:pPr>
            <w:r w:rsidRPr="00102EF1">
              <w:rPr>
                <w:rFonts w:cs="Calibri"/>
                <w:b/>
                <w:bCs/>
                <w:color w:val="FFFFFF"/>
                <w:sz w:val="22"/>
                <w:szCs w:val="22"/>
              </w:rPr>
              <w:t>Peak Ref. Load (kWh/h)</w:t>
            </w:r>
          </w:p>
        </w:tc>
        <w:tc>
          <w:tcPr>
            <w:tcW w:w="960" w:type="dxa"/>
            <w:tcBorders>
              <w:top w:val="nil"/>
              <w:left w:val="nil"/>
              <w:bottom w:val="single" w:sz="4" w:space="0" w:color="auto"/>
              <w:right w:val="single" w:sz="4" w:space="0" w:color="FFFFFF"/>
            </w:tcBorders>
            <w:shd w:val="clear" w:color="auto" w:fill="0C2577"/>
            <w:vAlign w:val="bottom"/>
            <w:hideMark/>
          </w:tcPr>
          <w:p w14:paraId="19745B7F" w14:textId="77777777" w:rsidR="00102EF1" w:rsidRPr="00102EF1" w:rsidRDefault="00102EF1" w:rsidP="00102EF1">
            <w:pPr>
              <w:keepNext/>
              <w:jc w:val="center"/>
              <w:rPr>
                <w:rFonts w:cs="Calibri"/>
                <w:b/>
                <w:bCs/>
                <w:color w:val="FFFFFF"/>
                <w:sz w:val="22"/>
                <w:szCs w:val="22"/>
              </w:rPr>
            </w:pPr>
            <w:r w:rsidRPr="00102EF1">
              <w:rPr>
                <w:rFonts w:cs="Calibri"/>
                <w:b/>
                <w:bCs/>
                <w:color w:val="FFFFFF"/>
                <w:sz w:val="22"/>
                <w:szCs w:val="22"/>
              </w:rPr>
              <w:t>Peak Load Impact (kWh/h)</w:t>
            </w:r>
          </w:p>
        </w:tc>
        <w:tc>
          <w:tcPr>
            <w:tcW w:w="960" w:type="dxa"/>
            <w:tcBorders>
              <w:top w:val="nil"/>
              <w:left w:val="nil"/>
              <w:bottom w:val="single" w:sz="4" w:space="0" w:color="auto"/>
              <w:right w:val="single" w:sz="4" w:space="0" w:color="FFFFFF"/>
            </w:tcBorders>
            <w:shd w:val="clear" w:color="auto" w:fill="0C2577"/>
            <w:vAlign w:val="bottom"/>
            <w:hideMark/>
          </w:tcPr>
          <w:p w14:paraId="1FE6E836" w14:textId="77777777" w:rsidR="00102EF1" w:rsidRPr="00102EF1" w:rsidRDefault="00102EF1" w:rsidP="00102EF1">
            <w:pPr>
              <w:keepNext/>
              <w:jc w:val="center"/>
              <w:rPr>
                <w:rFonts w:cs="Calibri"/>
                <w:b/>
                <w:bCs/>
                <w:color w:val="FFFFFF"/>
                <w:sz w:val="22"/>
                <w:szCs w:val="22"/>
              </w:rPr>
            </w:pPr>
            <w:r w:rsidRPr="00102EF1">
              <w:rPr>
                <w:rFonts w:cs="Calibri"/>
                <w:b/>
                <w:bCs/>
                <w:color w:val="FFFFFF"/>
                <w:sz w:val="22"/>
                <w:szCs w:val="22"/>
              </w:rPr>
              <w:t>% Peak Load Impact</w:t>
            </w:r>
          </w:p>
        </w:tc>
        <w:tc>
          <w:tcPr>
            <w:tcW w:w="960" w:type="dxa"/>
            <w:tcBorders>
              <w:top w:val="nil"/>
              <w:left w:val="nil"/>
              <w:bottom w:val="nil"/>
              <w:right w:val="single" w:sz="4" w:space="0" w:color="auto"/>
            </w:tcBorders>
            <w:shd w:val="clear" w:color="auto" w:fill="0C2577"/>
            <w:vAlign w:val="bottom"/>
            <w:hideMark/>
          </w:tcPr>
          <w:p w14:paraId="7867279F" w14:textId="77777777" w:rsidR="00102EF1" w:rsidRPr="00102EF1" w:rsidRDefault="00102EF1" w:rsidP="00102EF1">
            <w:pPr>
              <w:keepNext/>
              <w:jc w:val="center"/>
              <w:rPr>
                <w:rFonts w:cs="Calibri"/>
                <w:b/>
                <w:bCs/>
                <w:color w:val="FFFFFF"/>
                <w:sz w:val="22"/>
                <w:szCs w:val="22"/>
              </w:rPr>
            </w:pPr>
            <w:r w:rsidRPr="00102EF1">
              <w:rPr>
                <w:rFonts w:cs="Calibri"/>
                <w:b/>
                <w:bCs/>
                <w:color w:val="FFFFFF"/>
                <w:sz w:val="22"/>
                <w:szCs w:val="22"/>
              </w:rPr>
              <w:t>Ave. Peak Temp.</w:t>
            </w:r>
          </w:p>
        </w:tc>
      </w:tr>
      <w:tr w:rsidR="00102EF1" w:rsidRPr="00102EF1" w14:paraId="5E080728" w14:textId="77777777" w:rsidTr="00237521">
        <w:trPr>
          <w:trHeight w:val="20"/>
          <w:jc w:val="center"/>
        </w:trPr>
        <w:tc>
          <w:tcPr>
            <w:tcW w:w="960" w:type="dxa"/>
            <w:vMerge w:val="restart"/>
            <w:tcBorders>
              <w:top w:val="single" w:sz="4" w:space="0" w:color="auto"/>
              <w:left w:val="single" w:sz="4" w:space="0" w:color="auto"/>
              <w:bottom w:val="double" w:sz="6" w:space="0" w:color="000000"/>
              <w:right w:val="nil"/>
            </w:tcBorders>
            <w:shd w:val="clear" w:color="auto" w:fill="auto"/>
            <w:vAlign w:val="center"/>
            <w:hideMark/>
          </w:tcPr>
          <w:p w14:paraId="362098C3" w14:textId="77777777" w:rsidR="00102EF1" w:rsidRPr="00102EF1" w:rsidRDefault="00102EF1" w:rsidP="00102EF1">
            <w:pPr>
              <w:keepNext/>
              <w:jc w:val="center"/>
              <w:rPr>
                <w:rFonts w:cs="Calibri"/>
                <w:sz w:val="22"/>
                <w:szCs w:val="22"/>
              </w:rPr>
            </w:pPr>
            <w:r w:rsidRPr="00102EF1">
              <w:rPr>
                <w:rFonts w:cs="Calibri"/>
                <w:sz w:val="22"/>
                <w:szCs w:val="22"/>
              </w:rPr>
              <w:t>Summer</w:t>
            </w:r>
          </w:p>
        </w:tc>
        <w:tc>
          <w:tcPr>
            <w:tcW w:w="960" w:type="dxa"/>
            <w:tcBorders>
              <w:top w:val="nil"/>
              <w:left w:val="single" w:sz="4" w:space="0" w:color="auto"/>
              <w:bottom w:val="nil"/>
              <w:right w:val="single" w:sz="4" w:space="0" w:color="auto"/>
            </w:tcBorders>
            <w:shd w:val="clear" w:color="000000" w:fill="FFFFFF"/>
            <w:noWrap/>
            <w:vAlign w:val="bottom"/>
            <w:hideMark/>
          </w:tcPr>
          <w:p w14:paraId="1B9132A1" w14:textId="77777777" w:rsidR="00102EF1" w:rsidRPr="00102EF1" w:rsidRDefault="00102EF1" w:rsidP="00102EF1">
            <w:pPr>
              <w:keepNext/>
              <w:jc w:val="center"/>
              <w:rPr>
                <w:rFonts w:cs="Calibri"/>
                <w:sz w:val="22"/>
                <w:szCs w:val="22"/>
              </w:rPr>
            </w:pPr>
            <w:r w:rsidRPr="00102EF1">
              <w:rPr>
                <w:rFonts w:cs="Calibri"/>
                <w:sz w:val="22"/>
                <w:szCs w:val="22"/>
              </w:rPr>
              <w:t>Coastal</w:t>
            </w:r>
          </w:p>
        </w:tc>
        <w:tc>
          <w:tcPr>
            <w:tcW w:w="1140" w:type="dxa"/>
            <w:tcBorders>
              <w:top w:val="nil"/>
              <w:left w:val="nil"/>
              <w:bottom w:val="nil"/>
              <w:right w:val="single" w:sz="4" w:space="0" w:color="auto"/>
            </w:tcBorders>
            <w:shd w:val="clear" w:color="000000" w:fill="FFFFFF"/>
            <w:noWrap/>
            <w:vAlign w:val="bottom"/>
            <w:hideMark/>
          </w:tcPr>
          <w:p w14:paraId="2C501066" w14:textId="77777777" w:rsidR="00102EF1" w:rsidRPr="00102EF1" w:rsidRDefault="00102EF1" w:rsidP="00102EF1">
            <w:pPr>
              <w:keepNext/>
              <w:jc w:val="center"/>
              <w:rPr>
                <w:rFonts w:cs="Calibri"/>
                <w:sz w:val="22"/>
                <w:szCs w:val="22"/>
              </w:rPr>
            </w:pPr>
            <w:r w:rsidRPr="00102EF1">
              <w:rPr>
                <w:rFonts w:cs="Calibri"/>
                <w:sz w:val="22"/>
                <w:szCs w:val="22"/>
              </w:rPr>
              <w:t>692</w:t>
            </w:r>
          </w:p>
        </w:tc>
        <w:tc>
          <w:tcPr>
            <w:tcW w:w="960" w:type="dxa"/>
            <w:tcBorders>
              <w:top w:val="nil"/>
              <w:left w:val="nil"/>
              <w:bottom w:val="nil"/>
              <w:right w:val="nil"/>
            </w:tcBorders>
            <w:shd w:val="clear" w:color="000000" w:fill="FFFFFF"/>
            <w:noWrap/>
            <w:vAlign w:val="bottom"/>
            <w:hideMark/>
          </w:tcPr>
          <w:p w14:paraId="1691DE97" w14:textId="77777777" w:rsidR="00102EF1" w:rsidRPr="00102EF1" w:rsidRDefault="00102EF1" w:rsidP="00102EF1">
            <w:pPr>
              <w:keepNext/>
              <w:jc w:val="center"/>
              <w:rPr>
                <w:rFonts w:cs="Calibri"/>
                <w:sz w:val="22"/>
                <w:szCs w:val="22"/>
              </w:rPr>
            </w:pPr>
            <w:r w:rsidRPr="00102EF1">
              <w:rPr>
                <w:rFonts w:cs="Calibri"/>
                <w:sz w:val="22"/>
                <w:szCs w:val="22"/>
              </w:rPr>
              <w:t>0.60</w:t>
            </w:r>
          </w:p>
        </w:tc>
        <w:tc>
          <w:tcPr>
            <w:tcW w:w="1000" w:type="dxa"/>
            <w:tcBorders>
              <w:top w:val="nil"/>
              <w:left w:val="nil"/>
              <w:bottom w:val="nil"/>
              <w:right w:val="single" w:sz="4" w:space="0" w:color="auto"/>
            </w:tcBorders>
            <w:shd w:val="clear" w:color="000000" w:fill="FFFFFF"/>
            <w:noWrap/>
            <w:vAlign w:val="bottom"/>
            <w:hideMark/>
          </w:tcPr>
          <w:p w14:paraId="75150FE8" w14:textId="77777777" w:rsidR="00102EF1" w:rsidRPr="00102EF1" w:rsidRDefault="00102EF1" w:rsidP="00102EF1">
            <w:pPr>
              <w:keepNext/>
              <w:jc w:val="center"/>
              <w:rPr>
                <w:rFonts w:cs="Calibri"/>
                <w:sz w:val="22"/>
                <w:szCs w:val="22"/>
              </w:rPr>
            </w:pPr>
            <w:r w:rsidRPr="00102EF1">
              <w:rPr>
                <w:rFonts w:cs="Calibri"/>
                <w:sz w:val="22"/>
                <w:szCs w:val="22"/>
              </w:rPr>
              <w:t>0.03</w:t>
            </w:r>
          </w:p>
        </w:tc>
        <w:tc>
          <w:tcPr>
            <w:tcW w:w="940" w:type="dxa"/>
            <w:tcBorders>
              <w:top w:val="nil"/>
              <w:left w:val="nil"/>
              <w:bottom w:val="nil"/>
              <w:right w:val="nil"/>
            </w:tcBorders>
            <w:shd w:val="clear" w:color="000000" w:fill="FFFFFF"/>
            <w:noWrap/>
            <w:vAlign w:val="bottom"/>
            <w:hideMark/>
          </w:tcPr>
          <w:p w14:paraId="44103B4E" w14:textId="4B58A03F" w:rsidR="00102EF1" w:rsidRPr="00102EF1" w:rsidRDefault="00102EF1" w:rsidP="00102EF1">
            <w:pPr>
              <w:keepNext/>
              <w:jc w:val="center"/>
              <w:rPr>
                <w:rFonts w:cs="Calibri"/>
                <w:sz w:val="22"/>
                <w:szCs w:val="22"/>
              </w:rPr>
            </w:pPr>
            <w:r w:rsidRPr="00102EF1">
              <w:rPr>
                <w:rFonts w:cs="Calibri"/>
                <w:sz w:val="22"/>
                <w:szCs w:val="22"/>
              </w:rPr>
              <w:t>0.81</w:t>
            </w:r>
          </w:p>
        </w:tc>
        <w:tc>
          <w:tcPr>
            <w:tcW w:w="960" w:type="dxa"/>
            <w:tcBorders>
              <w:top w:val="nil"/>
              <w:left w:val="nil"/>
              <w:bottom w:val="nil"/>
              <w:right w:val="single" w:sz="4" w:space="0" w:color="auto"/>
            </w:tcBorders>
            <w:shd w:val="clear" w:color="000000" w:fill="FFFFFF"/>
            <w:noWrap/>
            <w:vAlign w:val="bottom"/>
            <w:hideMark/>
          </w:tcPr>
          <w:p w14:paraId="3DBFFB46" w14:textId="77777777" w:rsidR="00102EF1" w:rsidRPr="00102EF1" w:rsidRDefault="00102EF1" w:rsidP="00102EF1">
            <w:pPr>
              <w:keepNext/>
              <w:jc w:val="center"/>
              <w:rPr>
                <w:rFonts w:cs="Calibri"/>
                <w:sz w:val="22"/>
                <w:szCs w:val="22"/>
              </w:rPr>
            </w:pPr>
            <w:r w:rsidRPr="00102EF1">
              <w:rPr>
                <w:rFonts w:cs="Calibri"/>
                <w:sz w:val="22"/>
                <w:szCs w:val="22"/>
              </w:rPr>
              <w:t>0.038</w:t>
            </w:r>
          </w:p>
        </w:tc>
        <w:tc>
          <w:tcPr>
            <w:tcW w:w="960" w:type="dxa"/>
            <w:tcBorders>
              <w:top w:val="nil"/>
              <w:left w:val="nil"/>
              <w:bottom w:val="nil"/>
              <w:right w:val="single" w:sz="4" w:space="0" w:color="auto"/>
            </w:tcBorders>
            <w:shd w:val="clear" w:color="000000" w:fill="FFFFFF"/>
            <w:noWrap/>
            <w:vAlign w:val="bottom"/>
            <w:hideMark/>
          </w:tcPr>
          <w:p w14:paraId="09178167" w14:textId="77777777" w:rsidR="00102EF1" w:rsidRPr="00102EF1" w:rsidRDefault="00102EF1" w:rsidP="00102EF1">
            <w:pPr>
              <w:keepNext/>
              <w:jc w:val="center"/>
              <w:rPr>
                <w:rFonts w:cs="Calibri"/>
                <w:sz w:val="22"/>
                <w:szCs w:val="22"/>
              </w:rPr>
            </w:pPr>
            <w:r w:rsidRPr="00102EF1">
              <w:rPr>
                <w:rFonts w:cs="Calibri"/>
                <w:sz w:val="22"/>
                <w:szCs w:val="22"/>
              </w:rPr>
              <w:t>4.6%</w:t>
            </w:r>
          </w:p>
        </w:tc>
        <w:tc>
          <w:tcPr>
            <w:tcW w:w="960" w:type="dxa"/>
            <w:tcBorders>
              <w:top w:val="single" w:sz="4" w:space="0" w:color="auto"/>
              <w:left w:val="nil"/>
              <w:bottom w:val="nil"/>
              <w:right w:val="single" w:sz="4" w:space="0" w:color="auto"/>
            </w:tcBorders>
            <w:shd w:val="clear" w:color="000000" w:fill="FFFFFF"/>
            <w:noWrap/>
            <w:vAlign w:val="bottom"/>
            <w:hideMark/>
          </w:tcPr>
          <w:p w14:paraId="65CBFF24" w14:textId="77777777" w:rsidR="00102EF1" w:rsidRPr="00102EF1" w:rsidRDefault="00102EF1" w:rsidP="00102EF1">
            <w:pPr>
              <w:keepNext/>
              <w:jc w:val="center"/>
              <w:rPr>
                <w:rFonts w:cs="Calibri"/>
                <w:sz w:val="22"/>
                <w:szCs w:val="22"/>
              </w:rPr>
            </w:pPr>
            <w:r w:rsidRPr="00102EF1">
              <w:rPr>
                <w:rFonts w:cs="Calibri"/>
                <w:sz w:val="22"/>
                <w:szCs w:val="22"/>
              </w:rPr>
              <w:t>76</w:t>
            </w:r>
          </w:p>
        </w:tc>
      </w:tr>
      <w:tr w:rsidR="00102EF1" w:rsidRPr="00102EF1" w14:paraId="4B74B0EF" w14:textId="77777777" w:rsidTr="00237521">
        <w:trPr>
          <w:trHeight w:val="20"/>
          <w:jc w:val="center"/>
        </w:trPr>
        <w:tc>
          <w:tcPr>
            <w:tcW w:w="960" w:type="dxa"/>
            <w:vMerge/>
            <w:tcBorders>
              <w:top w:val="single" w:sz="4" w:space="0" w:color="auto"/>
              <w:left w:val="single" w:sz="4" w:space="0" w:color="auto"/>
              <w:bottom w:val="double" w:sz="6" w:space="0" w:color="000000"/>
              <w:right w:val="nil"/>
            </w:tcBorders>
            <w:vAlign w:val="center"/>
            <w:hideMark/>
          </w:tcPr>
          <w:p w14:paraId="750765C4" w14:textId="77777777" w:rsidR="00102EF1" w:rsidRPr="00102EF1" w:rsidRDefault="00102EF1" w:rsidP="00102EF1">
            <w:pPr>
              <w:keepNext/>
              <w:rPr>
                <w:rFonts w:cs="Calibri"/>
                <w:sz w:val="22"/>
                <w:szCs w:val="22"/>
              </w:rPr>
            </w:pPr>
          </w:p>
        </w:tc>
        <w:tc>
          <w:tcPr>
            <w:tcW w:w="960" w:type="dxa"/>
            <w:tcBorders>
              <w:top w:val="nil"/>
              <w:left w:val="single" w:sz="4" w:space="0" w:color="auto"/>
              <w:bottom w:val="nil"/>
              <w:right w:val="single" w:sz="4" w:space="0" w:color="auto"/>
            </w:tcBorders>
            <w:shd w:val="clear" w:color="000000" w:fill="FFFFFF"/>
            <w:noWrap/>
            <w:vAlign w:val="bottom"/>
            <w:hideMark/>
          </w:tcPr>
          <w:p w14:paraId="37D8010C" w14:textId="77777777" w:rsidR="00102EF1" w:rsidRPr="00102EF1" w:rsidRDefault="00102EF1" w:rsidP="00102EF1">
            <w:pPr>
              <w:keepNext/>
              <w:jc w:val="center"/>
              <w:rPr>
                <w:rFonts w:cs="Calibri"/>
                <w:sz w:val="22"/>
                <w:szCs w:val="22"/>
              </w:rPr>
            </w:pPr>
            <w:r w:rsidRPr="00102EF1">
              <w:rPr>
                <w:rFonts w:cs="Calibri"/>
                <w:sz w:val="22"/>
                <w:szCs w:val="22"/>
              </w:rPr>
              <w:t>Inland</w:t>
            </w:r>
          </w:p>
        </w:tc>
        <w:tc>
          <w:tcPr>
            <w:tcW w:w="1140" w:type="dxa"/>
            <w:tcBorders>
              <w:top w:val="nil"/>
              <w:left w:val="nil"/>
              <w:bottom w:val="nil"/>
              <w:right w:val="single" w:sz="4" w:space="0" w:color="auto"/>
            </w:tcBorders>
            <w:shd w:val="clear" w:color="000000" w:fill="FFFFFF"/>
            <w:noWrap/>
            <w:vAlign w:val="bottom"/>
            <w:hideMark/>
          </w:tcPr>
          <w:p w14:paraId="74ACF21D" w14:textId="77777777" w:rsidR="00102EF1" w:rsidRPr="00102EF1" w:rsidRDefault="00102EF1" w:rsidP="00102EF1">
            <w:pPr>
              <w:keepNext/>
              <w:jc w:val="center"/>
              <w:rPr>
                <w:rFonts w:cs="Calibri"/>
                <w:sz w:val="22"/>
                <w:szCs w:val="22"/>
              </w:rPr>
            </w:pPr>
            <w:r w:rsidRPr="00102EF1">
              <w:rPr>
                <w:rFonts w:cs="Calibri"/>
                <w:sz w:val="22"/>
                <w:szCs w:val="22"/>
              </w:rPr>
              <w:t>515</w:t>
            </w:r>
          </w:p>
        </w:tc>
        <w:tc>
          <w:tcPr>
            <w:tcW w:w="960" w:type="dxa"/>
            <w:tcBorders>
              <w:top w:val="nil"/>
              <w:left w:val="nil"/>
              <w:bottom w:val="nil"/>
              <w:right w:val="nil"/>
            </w:tcBorders>
            <w:shd w:val="clear" w:color="000000" w:fill="FFFFFF"/>
            <w:noWrap/>
            <w:vAlign w:val="bottom"/>
            <w:hideMark/>
          </w:tcPr>
          <w:p w14:paraId="29D12AB0" w14:textId="77777777" w:rsidR="00102EF1" w:rsidRPr="00102EF1" w:rsidRDefault="00102EF1" w:rsidP="00102EF1">
            <w:pPr>
              <w:keepNext/>
              <w:jc w:val="center"/>
              <w:rPr>
                <w:rFonts w:cs="Calibri"/>
                <w:sz w:val="22"/>
                <w:szCs w:val="22"/>
              </w:rPr>
            </w:pPr>
            <w:r w:rsidRPr="00102EF1">
              <w:rPr>
                <w:rFonts w:cs="Calibri"/>
                <w:sz w:val="22"/>
                <w:szCs w:val="22"/>
              </w:rPr>
              <w:t>0.52</w:t>
            </w:r>
          </w:p>
        </w:tc>
        <w:tc>
          <w:tcPr>
            <w:tcW w:w="1000" w:type="dxa"/>
            <w:tcBorders>
              <w:top w:val="nil"/>
              <w:left w:val="nil"/>
              <w:bottom w:val="nil"/>
              <w:right w:val="single" w:sz="4" w:space="0" w:color="auto"/>
            </w:tcBorders>
            <w:shd w:val="clear" w:color="000000" w:fill="FFFFFF"/>
            <w:noWrap/>
            <w:vAlign w:val="bottom"/>
            <w:hideMark/>
          </w:tcPr>
          <w:p w14:paraId="585F67FF" w14:textId="77777777" w:rsidR="00102EF1" w:rsidRPr="00102EF1" w:rsidRDefault="00102EF1" w:rsidP="00102EF1">
            <w:pPr>
              <w:keepNext/>
              <w:jc w:val="center"/>
              <w:rPr>
                <w:rFonts w:cs="Calibri"/>
                <w:sz w:val="22"/>
                <w:szCs w:val="22"/>
              </w:rPr>
            </w:pPr>
            <w:r w:rsidRPr="00102EF1">
              <w:rPr>
                <w:rFonts w:cs="Calibri"/>
                <w:sz w:val="22"/>
                <w:szCs w:val="22"/>
              </w:rPr>
              <w:t>0.03</w:t>
            </w:r>
          </w:p>
        </w:tc>
        <w:tc>
          <w:tcPr>
            <w:tcW w:w="940" w:type="dxa"/>
            <w:tcBorders>
              <w:top w:val="nil"/>
              <w:left w:val="nil"/>
              <w:bottom w:val="nil"/>
              <w:right w:val="nil"/>
            </w:tcBorders>
            <w:shd w:val="clear" w:color="000000" w:fill="FFFFFF"/>
            <w:noWrap/>
            <w:vAlign w:val="bottom"/>
            <w:hideMark/>
          </w:tcPr>
          <w:p w14:paraId="5F25751B" w14:textId="69AA7C66" w:rsidR="00102EF1" w:rsidRPr="00102EF1" w:rsidRDefault="00102EF1" w:rsidP="00102EF1">
            <w:pPr>
              <w:keepNext/>
              <w:jc w:val="center"/>
              <w:rPr>
                <w:rFonts w:cs="Calibri"/>
                <w:sz w:val="22"/>
                <w:szCs w:val="22"/>
              </w:rPr>
            </w:pPr>
            <w:r w:rsidRPr="00102EF1">
              <w:rPr>
                <w:rFonts w:cs="Calibri"/>
                <w:sz w:val="22"/>
                <w:szCs w:val="22"/>
              </w:rPr>
              <w:t>0.97</w:t>
            </w:r>
          </w:p>
        </w:tc>
        <w:tc>
          <w:tcPr>
            <w:tcW w:w="960" w:type="dxa"/>
            <w:tcBorders>
              <w:top w:val="nil"/>
              <w:left w:val="nil"/>
              <w:bottom w:val="nil"/>
              <w:right w:val="single" w:sz="4" w:space="0" w:color="auto"/>
            </w:tcBorders>
            <w:shd w:val="clear" w:color="000000" w:fill="FFFFFF"/>
            <w:noWrap/>
            <w:vAlign w:val="bottom"/>
            <w:hideMark/>
          </w:tcPr>
          <w:p w14:paraId="3B0A73FC" w14:textId="77777777" w:rsidR="00102EF1" w:rsidRPr="00102EF1" w:rsidRDefault="00102EF1" w:rsidP="00102EF1">
            <w:pPr>
              <w:keepNext/>
              <w:jc w:val="center"/>
              <w:rPr>
                <w:rFonts w:cs="Calibri"/>
                <w:sz w:val="22"/>
                <w:szCs w:val="22"/>
              </w:rPr>
            </w:pPr>
            <w:r w:rsidRPr="00102EF1">
              <w:rPr>
                <w:rFonts w:cs="Calibri"/>
                <w:sz w:val="22"/>
                <w:szCs w:val="22"/>
              </w:rPr>
              <w:t>0.061</w:t>
            </w:r>
          </w:p>
        </w:tc>
        <w:tc>
          <w:tcPr>
            <w:tcW w:w="960" w:type="dxa"/>
            <w:tcBorders>
              <w:top w:val="nil"/>
              <w:left w:val="nil"/>
              <w:bottom w:val="nil"/>
              <w:right w:val="single" w:sz="4" w:space="0" w:color="auto"/>
            </w:tcBorders>
            <w:shd w:val="clear" w:color="000000" w:fill="FFFFFF"/>
            <w:noWrap/>
            <w:vAlign w:val="bottom"/>
            <w:hideMark/>
          </w:tcPr>
          <w:p w14:paraId="1B1068F6" w14:textId="77777777" w:rsidR="00102EF1" w:rsidRPr="00102EF1" w:rsidRDefault="00102EF1" w:rsidP="00102EF1">
            <w:pPr>
              <w:keepNext/>
              <w:jc w:val="center"/>
              <w:rPr>
                <w:rFonts w:cs="Calibri"/>
                <w:sz w:val="22"/>
                <w:szCs w:val="22"/>
              </w:rPr>
            </w:pPr>
            <w:r w:rsidRPr="00102EF1">
              <w:rPr>
                <w:rFonts w:cs="Calibri"/>
                <w:sz w:val="22"/>
                <w:szCs w:val="22"/>
              </w:rPr>
              <w:t>6.3%</w:t>
            </w:r>
          </w:p>
        </w:tc>
        <w:tc>
          <w:tcPr>
            <w:tcW w:w="960" w:type="dxa"/>
            <w:tcBorders>
              <w:top w:val="nil"/>
              <w:left w:val="nil"/>
              <w:bottom w:val="nil"/>
              <w:right w:val="single" w:sz="4" w:space="0" w:color="auto"/>
            </w:tcBorders>
            <w:shd w:val="clear" w:color="000000" w:fill="FFFFFF"/>
            <w:noWrap/>
            <w:vAlign w:val="bottom"/>
            <w:hideMark/>
          </w:tcPr>
          <w:p w14:paraId="5F9753BF" w14:textId="77777777" w:rsidR="00102EF1" w:rsidRPr="00102EF1" w:rsidRDefault="00102EF1" w:rsidP="00102EF1">
            <w:pPr>
              <w:keepNext/>
              <w:jc w:val="center"/>
              <w:rPr>
                <w:rFonts w:cs="Calibri"/>
                <w:sz w:val="22"/>
                <w:szCs w:val="22"/>
              </w:rPr>
            </w:pPr>
            <w:r w:rsidRPr="00102EF1">
              <w:rPr>
                <w:rFonts w:cs="Calibri"/>
                <w:sz w:val="22"/>
                <w:szCs w:val="22"/>
              </w:rPr>
              <w:t>78</w:t>
            </w:r>
          </w:p>
        </w:tc>
      </w:tr>
      <w:tr w:rsidR="00102EF1" w:rsidRPr="00102EF1" w14:paraId="3FEE3B54" w14:textId="77777777" w:rsidTr="00237521">
        <w:trPr>
          <w:trHeight w:val="20"/>
          <w:jc w:val="center"/>
        </w:trPr>
        <w:tc>
          <w:tcPr>
            <w:tcW w:w="960" w:type="dxa"/>
            <w:vMerge/>
            <w:tcBorders>
              <w:top w:val="single" w:sz="4" w:space="0" w:color="auto"/>
              <w:left w:val="single" w:sz="4" w:space="0" w:color="auto"/>
              <w:bottom w:val="double" w:sz="6" w:space="0" w:color="000000"/>
              <w:right w:val="nil"/>
            </w:tcBorders>
            <w:vAlign w:val="center"/>
            <w:hideMark/>
          </w:tcPr>
          <w:p w14:paraId="56B4A5E7" w14:textId="77777777" w:rsidR="00102EF1" w:rsidRPr="00102EF1" w:rsidRDefault="00102EF1" w:rsidP="00102EF1">
            <w:pPr>
              <w:keepNext/>
              <w:rPr>
                <w:rFonts w:cs="Calibri"/>
                <w:sz w:val="22"/>
                <w:szCs w:val="22"/>
              </w:rPr>
            </w:pPr>
          </w:p>
        </w:tc>
        <w:tc>
          <w:tcPr>
            <w:tcW w:w="960" w:type="dxa"/>
            <w:tcBorders>
              <w:top w:val="nil"/>
              <w:left w:val="single" w:sz="4" w:space="0" w:color="auto"/>
              <w:bottom w:val="double" w:sz="6" w:space="0" w:color="auto"/>
              <w:right w:val="single" w:sz="4" w:space="0" w:color="auto"/>
            </w:tcBorders>
            <w:shd w:val="clear" w:color="000000" w:fill="FFFFFF"/>
            <w:noWrap/>
            <w:vAlign w:val="bottom"/>
            <w:hideMark/>
          </w:tcPr>
          <w:p w14:paraId="6B4D6A07" w14:textId="77777777" w:rsidR="00102EF1" w:rsidRPr="00237521" w:rsidRDefault="00102EF1" w:rsidP="00102EF1">
            <w:pPr>
              <w:keepNext/>
              <w:jc w:val="center"/>
              <w:rPr>
                <w:rFonts w:cs="Calibri"/>
                <w:b/>
                <w:sz w:val="22"/>
                <w:szCs w:val="22"/>
              </w:rPr>
            </w:pPr>
            <w:r w:rsidRPr="00237521">
              <w:rPr>
                <w:rFonts w:cs="Calibri"/>
                <w:b/>
                <w:sz w:val="22"/>
                <w:szCs w:val="22"/>
              </w:rPr>
              <w:t>All</w:t>
            </w:r>
          </w:p>
        </w:tc>
        <w:tc>
          <w:tcPr>
            <w:tcW w:w="1140" w:type="dxa"/>
            <w:tcBorders>
              <w:top w:val="nil"/>
              <w:left w:val="nil"/>
              <w:bottom w:val="double" w:sz="6" w:space="0" w:color="auto"/>
              <w:right w:val="single" w:sz="4" w:space="0" w:color="auto"/>
            </w:tcBorders>
            <w:shd w:val="clear" w:color="000000" w:fill="FFFFFF"/>
            <w:noWrap/>
            <w:vAlign w:val="bottom"/>
            <w:hideMark/>
          </w:tcPr>
          <w:p w14:paraId="13E989F4" w14:textId="77777777" w:rsidR="00102EF1" w:rsidRPr="00237521" w:rsidRDefault="00102EF1" w:rsidP="00102EF1">
            <w:pPr>
              <w:keepNext/>
              <w:jc w:val="center"/>
              <w:rPr>
                <w:rFonts w:cs="Calibri"/>
                <w:b/>
                <w:sz w:val="22"/>
                <w:szCs w:val="22"/>
              </w:rPr>
            </w:pPr>
            <w:r w:rsidRPr="00237521">
              <w:rPr>
                <w:rFonts w:cs="Calibri"/>
                <w:b/>
                <w:sz w:val="22"/>
                <w:szCs w:val="22"/>
              </w:rPr>
              <w:t>1,207</w:t>
            </w:r>
          </w:p>
        </w:tc>
        <w:tc>
          <w:tcPr>
            <w:tcW w:w="960" w:type="dxa"/>
            <w:tcBorders>
              <w:top w:val="nil"/>
              <w:left w:val="nil"/>
              <w:bottom w:val="double" w:sz="6" w:space="0" w:color="auto"/>
              <w:right w:val="nil"/>
            </w:tcBorders>
            <w:shd w:val="clear" w:color="000000" w:fill="FFFFFF"/>
            <w:noWrap/>
            <w:vAlign w:val="bottom"/>
            <w:hideMark/>
          </w:tcPr>
          <w:p w14:paraId="015E0F6A" w14:textId="77777777" w:rsidR="00102EF1" w:rsidRPr="00237521" w:rsidRDefault="00102EF1" w:rsidP="00102EF1">
            <w:pPr>
              <w:keepNext/>
              <w:jc w:val="center"/>
              <w:rPr>
                <w:rFonts w:cs="Calibri"/>
                <w:b/>
                <w:sz w:val="22"/>
                <w:szCs w:val="22"/>
              </w:rPr>
            </w:pPr>
            <w:r w:rsidRPr="00237521">
              <w:rPr>
                <w:rFonts w:cs="Calibri"/>
                <w:b/>
                <w:sz w:val="22"/>
                <w:szCs w:val="22"/>
              </w:rPr>
              <w:t>1.12</w:t>
            </w:r>
          </w:p>
        </w:tc>
        <w:tc>
          <w:tcPr>
            <w:tcW w:w="1000" w:type="dxa"/>
            <w:tcBorders>
              <w:top w:val="nil"/>
              <w:left w:val="nil"/>
              <w:bottom w:val="double" w:sz="6" w:space="0" w:color="auto"/>
              <w:right w:val="single" w:sz="4" w:space="0" w:color="auto"/>
            </w:tcBorders>
            <w:shd w:val="clear" w:color="000000" w:fill="FFFFFF"/>
            <w:noWrap/>
            <w:vAlign w:val="bottom"/>
            <w:hideMark/>
          </w:tcPr>
          <w:p w14:paraId="10820AB6" w14:textId="77777777" w:rsidR="00102EF1" w:rsidRPr="00237521" w:rsidRDefault="00102EF1" w:rsidP="00102EF1">
            <w:pPr>
              <w:keepNext/>
              <w:jc w:val="center"/>
              <w:rPr>
                <w:rFonts w:cs="Calibri"/>
                <w:b/>
                <w:sz w:val="22"/>
                <w:szCs w:val="22"/>
              </w:rPr>
            </w:pPr>
            <w:r w:rsidRPr="00237521">
              <w:rPr>
                <w:rFonts w:cs="Calibri"/>
                <w:b/>
                <w:sz w:val="22"/>
                <w:szCs w:val="22"/>
              </w:rPr>
              <w:t>0.06</w:t>
            </w:r>
          </w:p>
        </w:tc>
        <w:tc>
          <w:tcPr>
            <w:tcW w:w="940" w:type="dxa"/>
            <w:tcBorders>
              <w:top w:val="nil"/>
              <w:left w:val="nil"/>
              <w:bottom w:val="double" w:sz="6" w:space="0" w:color="auto"/>
              <w:right w:val="nil"/>
            </w:tcBorders>
            <w:shd w:val="clear" w:color="000000" w:fill="FFFFFF"/>
            <w:noWrap/>
            <w:vAlign w:val="bottom"/>
            <w:hideMark/>
          </w:tcPr>
          <w:p w14:paraId="67E19A3E" w14:textId="22AFB43B" w:rsidR="00102EF1" w:rsidRPr="00237521" w:rsidRDefault="00102EF1" w:rsidP="00102EF1">
            <w:pPr>
              <w:keepNext/>
              <w:jc w:val="center"/>
              <w:rPr>
                <w:rFonts w:cs="Calibri"/>
                <w:b/>
                <w:sz w:val="22"/>
                <w:szCs w:val="22"/>
              </w:rPr>
            </w:pPr>
            <w:r w:rsidRPr="00237521">
              <w:rPr>
                <w:rFonts w:cs="Calibri"/>
                <w:b/>
                <w:sz w:val="22"/>
                <w:szCs w:val="22"/>
              </w:rPr>
              <w:t>0.88</w:t>
            </w:r>
          </w:p>
        </w:tc>
        <w:tc>
          <w:tcPr>
            <w:tcW w:w="960" w:type="dxa"/>
            <w:tcBorders>
              <w:top w:val="nil"/>
              <w:left w:val="nil"/>
              <w:bottom w:val="double" w:sz="6" w:space="0" w:color="auto"/>
              <w:right w:val="single" w:sz="4" w:space="0" w:color="auto"/>
            </w:tcBorders>
            <w:shd w:val="clear" w:color="000000" w:fill="FFFFFF"/>
            <w:noWrap/>
            <w:vAlign w:val="bottom"/>
            <w:hideMark/>
          </w:tcPr>
          <w:p w14:paraId="54E735B8" w14:textId="77777777" w:rsidR="00102EF1" w:rsidRPr="00237521" w:rsidRDefault="00102EF1" w:rsidP="00102EF1">
            <w:pPr>
              <w:keepNext/>
              <w:jc w:val="center"/>
              <w:rPr>
                <w:rFonts w:cs="Calibri"/>
                <w:b/>
                <w:sz w:val="22"/>
                <w:szCs w:val="22"/>
              </w:rPr>
            </w:pPr>
            <w:r w:rsidRPr="00237521">
              <w:rPr>
                <w:rFonts w:cs="Calibri"/>
                <w:b/>
                <w:sz w:val="22"/>
                <w:szCs w:val="22"/>
              </w:rPr>
              <w:t>0.048</w:t>
            </w:r>
          </w:p>
        </w:tc>
        <w:tc>
          <w:tcPr>
            <w:tcW w:w="960" w:type="dxa"/>
            <w:tcBorders>
              <w:top w:val="nil"/>
              <w:left w:val="nil"/>
              <w:bottom w:val="double" w:sz="6" w:space="0" w:color="auto"/>
              <w:right w:val="single" w:sz="4" w:space="0" w:color="auto"/>
            </w:tcBorders>
            <w:shd w:val="clear" w:color="000000" w:fill="FFFFFF"/>
            <w:noWrap/>
            <w:vAlign w:val="bottom"/>
            <w:hideMark/>
          </w:tcPr>
          <w:p w14:paraId="4504B94C" w14:textId="77777777" w:rsidR="00102EF1" w:rsidRPr="00237521" w:rsidRDefault="00102EF1" w:rsidP="00102EF1">
            <w:pPr>
              <w:keepNext/>
              <w:jc w:val="center"/>
              <w:rPr>
                <w:rFonts w:cs="Calibri"/>
                <w:b/>
                <w:sz w:val="22"/>
                <w:szCs w:val="22"/>
              </w:rPr>
            </w:pPr>
            <w:r w:rsidRPr="00237521">
              <w:rPr>
                <w:rFonts w:cs="Calibri"/>
                <w:b/>
                <w:sz w:val="22"/>
                <w:szCs w:val="22"/>
              </w:rPr>
              <w:t>5.4%</w:t>
            </w:r>
          </w:p>
        </w:tc>
        <w:tc>
          <w:tcPr>
            <w:tcW w:w="960" w:type="dxa"/>
            <w:tcBorders>
              <w:top w:val="nil"/>
              <w:left w:val="nil"/>
              <w:bottom w:val="double" w:sz="6" w:space="0" w:color="auto"/>
              <w:right w:val="single" w:sz="4" w:space="0" w:color="auto"/>
            </w:tcBorders>
            <w:shd w:val="clear" w:color="000000" w:fill="FFFFFF"/>
            <w:noWrap/>
            <w:vAlign w:val="bottom"/>
            <w:hideMark/>
          </w:tcPr>
          <w:p w14:paraId="61457033" w14:textId="77777777" w:rsidR="00102EF1" w:rsidRPr="00237521" w:rsidRDefault="00102EF1" w:rsidP="00102EF1">
            <w:pPr>
              <w:keepNext/>
              <w:jc w:val="center"/>
              <w:rPr>
                <w:rFonts w:cs="Calibri"/>
                <w:b/>
                <w:sz w:val="22"/>
                <w:szCs w:val="22"/>
              </w:rPr>
            </w:pPr>
            <w:r w:rsidRPr="00237521">
              <w:rPr>
                <w:rFonts w:cs="Calibri"/>
                <w:b/>
                <w:sz w:val="22"/>
                <w:szCs w:val="22"/>
              </w:rPr>
              <w:t>77</w:t>
            </w:r>
          </w:p>
        </w:tc>
      </w:tr>
      <w:tr w:rsidR="00102EF1" w:rsidRPr="00102EF1" w14:paraId="697B86D2" w14:textId="77777777" w:rsidTr="00237521">
        <w:trPr>
          <w:trHeight w:val="20"/>
          <w:jc w:val="center"/>
        </w:trPr>
        <w:tc>
          <w:tcPr>
            <w:tcW w:w="960" w:type="dxa"/>
            <w:vMerge w:val="restart"/>
            <w:tcBorders>
              <w:top w:val="nil"/>
              <w:left w:val="single" w:sz="4" w:space="0" w:color="auto"/>
              <w:bottom w:val="single" w:sz="4" w:space="0" w:color="000000"/>
              <w:right w:val="nil"/>
            </w:tcBorders>
            <w:shd w:val="clear" w:color="auto" w:fill="auto"/>
            <w:vAlign w:val="center"/>
            <w:hideMark/>
          </w:tcPr>
          <w:p w14:paraId="3166E773" w14:textId="77777777" w:rsidR="00102EF1" w:rsidRPr="00102EF1" w:rsidRDefault="00102EF1" w:rsidP="00102EF1">
            <w:pPr>
              <w:keepNext/>
              <w:jc w:val="center"/>
              <w:rPr>
                <w:rFonts w:cs="Calibri"/>
                <w:sz w:val="22"/>
                <w:szCs w:val="22"/>
              </w:rPr>
            </w:pPr>
            <w:r w:rsidRPr="00102EF1">
              <w:rPr>
                <w:rFonts w:cs="Calibri"/>
                <w:sz w:val="22"/>
                <w:szCs w:val="22"/>
              </w:rPr>
              <w:t>Winter</w:t>
            </w:r>
          </w:p>
        </w:tc>
        <w:tc>
          <w:tcPr>
            <w:tcW w:w="960" w:type="dxa"/>
            <w:tcBorders>
              <w:top w:val="nil"/>
              <w:left w:val="single" w:sz="4" w:space="0" w:color="auto"/>
              <w:bottom w:val="nil"/>
              <w:right w:val="single" w:sz="4" w:space="0" w:color="auto"/>
            </w:tcBorders>
            <w:shd w:val="clear" w:color="000000" w:fill="FFFFFF"/>
            <w:noWrap/>
            <w:vAlign w:val="bottom"/>
            <w:hideMark/>
          </w:tcPr>
          <w:p w14:paraId="53C9E9C3" w14:textId="77777777" w:rsidR="00102EF1" w:rsidRPr="00102EF1" w:rsidRDefault="00102EF1" w:rsidP="00102EF1">
            <w:pPr>
              <w:keepNext/>
              <w:jc w:val="center"/>
              <w:rPr>
                <w:rFonts w:cs="Calibri"/>
                <w:sz w:val="22"/>
                <w:szCs w:val="22"/>
              </w:rPr>
            </w:pPr>
            <w:r w:rsidRPr="00102EF1">
              <w:rPr>
                <w:rFonts w:cs="Calibri"/>
                <w:sz w:val="22"/>
                <w:szCs w:val="22"/>
              </w:rPr>
              <w:t>Coastal</w:t>
            </w:r>
          </w:p>
        </w:tc>
        <w:tc>
          <w:tcPr>
            <w:tcW w:w="1140" w:type="dxa"/>
            <w:tcBorders>
              <w:top w:val="nil"/>
              <w:left w:val="nil"/>
              <w:bottom w:val="nil"/>
              <w:right w:val="single" w:sz="4" w:space="0" w:color="auto"/>
            </w:tcBorders>
            <w:shd w:val="clear" w:color="000000" w:fill="FFFFFF"/>
            <w:noWrap/>
            <w:vAlign w:val="bottom"/>
            <w:hideMark/>
          </w:tcPr>
          <w:p w14:paraId="0419C685" w14:textId="77777777" w:rsidR="00102EF1" w:rsidRPr="00102EF1" w:rsidRDefault="00102EF1" w:rsidP="00102EF1">
            <w:pPr>
              <w:keepNext/>
              <w:jc w:val="center"/>
              <w:rPr>
                <w:rFonts w:cs="Calibri"/>
                <w:sz w:val="22"/>
                <w:szCs w:val="22"/>
              </w:rPr>
            </w:pPr>
            <w:r w:rsidRPr="00102EF1">
              <w:rPr>
                <w:rFonts w:cs="Calibri"/>
                <w:sz w:val="22"/>
                <w:szCs w:val="22"/>
              </w:rPr>
              <w:t>443</w:t>
            </w:r>
          </w:p>
        </w:tc>
        <w:tc>
          <w:tcPr>
            <w:tcW w:w="960" w:type="dxa"/>
            <w:tcBorders>
              <w:top w:val="nil"/>
              <w:left w:val="nil"/>
              <w:bottom w:val="nil"/>
              <w:right w:val="nil"/>
            </w:tcBorders>
            <w:shd w:val="clear" w:color="000000" w:fill="FFFFFF"/>
            <w:noWrap/>
            <w:vAlign w:val="bottom"/>
            <w:hideMark/>
          </w:tcPr>
          <w:p w14:paraId="6BE18646" w14:textId="77777777" w:rsidR="00102EF1" w:rsidRPr="00102EF1" w:rsidRDefault="00102EF1" w:rsidP="00102EF1">
            <w:pPr>
              <w:keepNext/>
              <w:jc w:val="center"/>
              <w:rPr>
                <w:rFonts w:cs="Calibri"/>
                <w:sz w:val="22"/>
                <w:szCs w:val="22"/>
              </w:rPr>
            </w:pPr>
            <w:r w:rsidRPr="00102EF1">
              <w:rPr>
                <w:rFonts w:cs="Calibri"/>
                <w:sz w:val="22"/>
                <w:szCs w:val="22"/>
              </w:rPr>
              <w:t>0.46</w:t>
            </w:r>
          </w:p>
        </w:tc>
        <w:tc>
          <w:tcPr>
            <w:tcW w:w="1000" w:type="dxa"/>
            <w:tcBorders>
              <w:top w:val="nil"/>
              <w:left w:val="nil"/>
              <w:bottom w:val="nil"/>
              <w:right w:val="single" w:sz="4" w:space="0" w:color="auto"/>
            </w:tcBorders>
            <w:shd w:val="clear" w:color="000000" w:fill="FFFFFF"/>
            <w:noWrap/>
            <w:vAlign w:val="bottom"/>
            <w:hideMark/>
          </w:tcPr>
          <w:p w14:paraId="45E920D8" w14:textId="77777777" w:rsidR="00102EF1" w:rsidRPr="00102EF1" w:rsidRDefault="00102EF1" w:rsidP="00102EF1">
            <w:pPr>
              <w:keepNext/>
              <w:jc w:val="center"/>
              <w:rPr>
                <w:rFonts w:cs="Calibri"/>
                <w:sz w:val="22"/>
                <w:szCs w:val="22"/>
              </w:rPr>
            </w:pPr>
            <w:r w:rsidRPr="00102EF1">
              <w:rPr>
                <w:rFonts w:cs="Calibri"/>
                <w:sz w:val="22"/>
                <w:szCs w:val="22"/>
              </w:rPr>
              <w:t>-0.02</w:t>
            </w:r>
          </w:p>
        </w:tc>
        <w:tc>
          <w:tcPr>
            <w:tcW w:w="940" w:type="dxa"/>
            <w:tcBorders>
              <w:top w:val="nil"/>
              <w:left w:val="nil"/>
              <w:bottom w:val="nil"/>
              <w:right w:val="nil"/>
            </w:tcBorders>
            <w:shd w:val="clear" w:color="000000" w:fill="FFFFFF"/>
            <w:noWrap/>
            <w:vAlign w:val="bottom"/>
            <w:hideMark/>
          </w:tcPr>
          <w:p w14:paraId="1B9DCA39" w14:textId="310BC60A" w:rsidR="00102EF1" w:rsidRPr="00102EF1" w:rsidRDefault="00102EF1" w:rsidP="00102EF1">
            <w:pPr>
              <w:keepNext/>
              <w:jc w:val="center"/>
              <w:rPr>
                <w:rFonts w:cs="Calibri"/>
                <w:sz w:val="22"/>
                <w:szCs w:val="22"/>
              </w:rPr>
            </w:pPr>
            <w:r w:rsidRPr="00102EF1">
              <w:rPr>
                <w:rFonts w:cs="Calibri"/>
                <w:sz w:val="22"/>
                <w:szCs w:val="22"/>
              </w:rPr>
              <w:t>1.05</w:t>
            </w:r>
          </w:p>
        </w:tc>
        <w:tc>
          <w:tcPr>
            <w:tcW w:w="960" w:type="dxa"/>
            <w:tcBorders>
              <w:top w:val="nil"/>
              <w:left w:val="nil"/>
              <w:bottom w:val="nil"/>
              <w:right w:val="single" w:sz="4" w:space="0" w:color="auto"/>
            </w:tcBorders>
            <w:shd w:val="clear" w:color="000000" w:fill="FFFFFF"/>
            <w:noWrap/>
            <w:vAlign w:val="bottom"/>
            <w:hideMark/>
          </w:tcPr>
          <w:p w14:paraId="0F63B8B0" w14:textId="77777777" w:rsidR="00102EF1" w:rsidRPr="00102EF1" w:rsidRDefault="00102EF1" w:rsidP="00102EF1">
            <w:pPr>
              <w:keepNext/>
              <w:jc w:val="center"/>
              <w:rPr>
                <w:rFonts w:cs="Calibri"/>
                <w:sz w:val="22"/>
                <w:szCs w:val="22"/>
              </w:rPr>
            </w:pPr>
            <w:r w:rsidRPr="00102EF1">
              <w:rPr>
                <w:rFonts w:cs="Calibri"/>
                <w:sz w:val="22"/>
                <w:szCs w:val="22"/>
              </w:rPr>
              <w:t>-0.047</w:t>
            </w:r>
          </w:p>
        </w:tc>
        <w:tc>
          <w:tcPr>
            <w:tcW w:w="960" w:type="dxa"/>
            <w:tcBorders>
              <w:top w:val="nil"/>
              <w:left w:val="nil"/>
              <w:bottom w:val="nil"/>
              <w:right w:val="single" w:sz="4" w:space="0" w:color="auto"/>
            </w:tcBorders>
            <w:shd w:val="clear" w:color="000000" w:fill="FFFFFF"/>
            <w:noWrap/>
            <w:vAlign w:val="bottom"/>
            <w:hideMark/>
          </w:tcPr>
          <w:p w14:paraId="7FB0F274" w14:textId="77777777" w:rsidR="00102EF1" w:rsidRPr="00102EF1" w:rsidRDefault="00102EF1" w:rsidP="00102EF1">
            <w:pPr>
              <w:keepNext/>
              <w:jc w:val="center"/>
              <w:rPr>
                <w:rFonts w:cs="Calibri"/>
                <w:sz w:val="22"/>
                <w:szCs w:val="22"/>
              </w:rPr>
            </w:pPr>
            <w:r w:rsidRPr="00102EF1">
              <w:rPr>
                <w:rFonts w:cs="Calibri"/>
                <w:sz w:val="22"/>
                <w:szCs w:val="22"/>
              </w:rPr>
              <w:t>-4.5%</w:t>
            </w:r>
          </w:p>
        </w:tc>
        <w:tc>
          <w:tcPr>
            <w:tcW w:w="960" w:type="dxa"/>
            <w:tcBorders>
              <w:top w:val="nil"/>
              <w:left w:val="nil"/>
              <w:bottom w:val="nil"/>
              <w:right w:val="single" w:sz="4" w:space="0" w:color="auto"/>
            </w:tcBorders>
            <w:shd w:val="clear" w:color="000000" w:fill="FFFFFF"/>
            <w:noWrap/>
            <w:vAlign w:val="bottom"/>
            <w:hideMark/>
          </w:tcPr>
          <w:p w14:paraId="42524706" w14:textId="77777777" w:rsidR="00102EF1" w:rsidRPr="00102EF1" w:rsidRDefault="00102EF1" w:rsidP="00102EF1">
            <w:pPr>
              <w:keepNext/>
              <w:jc w:val="center"/>
              <w:rPr>
                <w:rFonts w:cs="Calibri"/>
                <w:sz w:val="22"/>
                <w:szCs w:val="22"/>
              </w:rPr>
            </w:pPr>
            <w:r w:rsidRPr="00102EF1">
              <w:rPr>
                <w:rFonts w:cs="Calibri"/>
                <w:sz w:val="22"/>
                <w:szCs w:val="22"/>
              </w:rPr>
              <w:t>63</w:t>
            </w:r>
          </w:p>
        </w:tc>
      </w:tr>
      <w:tr w:rsidR="00102EF1" w:rsidRPr="00102EF1" w14:paraId="62E3DCD3" w14:textId="77777777" w:rsidTr="00237521">
        <w:trPr>
          <w:trHeight w:val="20"/>
          <w:jc w:val="center"/>
        </w:trPr>
        <w:tc>
          <w:tcPr>
            <w:tcW w:w="960" w:type="dxa"/>
            <w:vMerge/>
            <w:tcBorders>
              <w:top w:val="nil"/>
              <w:left w:val="single" w:sz="4" w:space="0" w:color="auto"/>
              <w:bottom w:val="single" w:sz="4" w:space="0" w:color="000000"/>
              <w:right w:val="nil"/>
            </w:tcBorders>
            <w:vAlign w:val="center"/>
            <w:hideMark/>
          </w:tcPr>
          <w:p w14:paraId="42F017BB" w14:textId="77777777" w:rsidR="00102EF1" w:rsidRPr="00102EF1" w:rsidRDefault="00102EF1" w:rsidP="00102EF1">
            <w:pPr>
              <w:keepNext/>
              <w:rPr>
                <w:rFonts w:cs="Calibri"/>
                <w:sz w:val="22"/>
                <w:szCs w:val="22"/>
              </w:rPr>
            </w:pPr>
          </w:p>
        </w:tc>
        <w:tc>
          <w:tcPr>
            <w:tcW w:w="960" w:type="dxa"/>
            <w:tcBorders>
              <w:top w:val="nil"/>
              <w:left w:val="single" w:sz="4" w:space="0" w:color="auto"/>
              <w:bottom w:val="nil"/>
              <w:right w:val="single" w:sz="4" w:space="0" w:color="auto"/>
            </w:tcBorders>
            <w:shd w:val="clear" w:color="000000" w:fill="FFFFFF"/>
            <w:noWrap/>
            <w:vAlign w:val="bottom"/>
            <w:hideMark/>
          </w:tcPr>
          <w:p w14:paraId="0FCB3AED" w14:textId="77777777" w:rsidR="00102EF1" w:rsidRPr="00102EF1" w:rsidRDefault="00102EF1" w:rsidP="00102EF1">
            <w:pPr>
              <w:keepNext/>
              <w:jc w:val="center"/>
              <w:rPr>
                <w:rFonts w:cs="Calibri"/>
                <w:sz w:val="22"/>
                <w:szCs w:val="22"/>
              </w:rPr>
            </w:pPr>
            <w:r w:rsidRPr="00102EF1">
              <w:rPr>
                <w:rFonts w:cs="Calibri"/>
                <w:sz w:val="22"/>
                <w:szCs w:val="22"/>
              </w:rPr>
              <w:t>Inland</w:t>
            </w:r>
          </w:p>
        </w:tc>
        <w:tc>
          <w:tcPr>
            <w:tcW w:w="1140" w:type="dxa"/>
            <w:tcBorders>
              <w:top w:val="nil"/>
              <w:left w:val="nil"/>
              <w:bottom w:val="nil"/>
              <w:right w:val="single" w:sz="4" w:space="0" w:color="auto"/>
            </w:tcBorders>
            <w:shd w:val="clear" w:color="000000" w:fill="FFFFFF"/>
            <w:noWrap/>
            <w:vAlign w:val="bottom"/>
            <w:hideMark/>
          </w:tcPr>
          <w:p w14:paraId="02A04F59" w14:textId="77777777" w:rsidR="00102EF1" w:rsidRPr="00102EF1" w:rsidRDefault="00102EF1" w:rsidP="00102EF1">
            <w:pPr>
              <w:keepNext/>
              <w:jc w:val="center"/>
              <w:rPr>
                <w:rFonts w:cs="Calibri"/>
                <w:sz w:val="22"/>
                <w:szCs w:val="22"/>
              </w:rPr>
            </w:pPr>
            <w:r w:rsidRPr="00102EF1">
              <w:rPr>
                <w:rFonts w:cs="Calibri"/>
                <w:sz w:val="22"/>
                <w:szCs w:val="22"/>
              </w:rPr>
              <w:t>344</w:t>
            </w:r>
          </w:p>
        </w:tc>
        <w:tc>
          <w:tcPr>
            <w:tcW w:w="960" w:type="dxa"/>
            <w:tcBorders>
              <w:top w:val="nil"/>
              <w:left w:val="nil"/>
              <w:bottom w:val="nil"/>
              <w:right w:val="nil"/>
            </w:tcBorders>
            <w:shd w:val="clear" w:color="000000" w:fill="FFFFFF"/>
            <w:noWrap/>
            <w:vAlign w:val="bottom"/>
            <w:hideMark/>
          </w:tcPr>
          <w:p w14:paraId="5B10B41D" w14:textId="77777777" w:rsidR="00102EF1" w:rsidRPr="00102EF1" w:rsidRDefault="00102EF1" w:rsidP="00102EF1">
            <w:pPr>
              <w:keepNext/>
              <w:jc w:val="center"/>
              <w:rPr>
                <w:rFonts w:cs="Calibri"/>
                <w:sz w:val="22"/>
                <w:szCs w:val="22"/>
              </w:rPr>
            </w:pPr>
            <w:r w:rsidRPr="00102EF1">
              <w:rPr>
                <w:rFonts w:cs="Calibri"/>
                <w:sz w:val="22"/>
                <w:szCs w:val="22"/>
              </w:rPr>
              <w:t>0.33</w:t>
            </w:r>
          </w:p>
        </w:tc>
        <w:tc>
          <w:tcPr>
            <w:tcW w:w="1000" w:type="dxa"/>
            <w:tcBorders>
              <w:top w:val="nil"/>
              <w:left w:val="nil"/>
              <w:bottom w:val="nil"/>
              <w:right w:val="single" w:sz="4" w:space="0" w:color="auto"/>
            </w:tcBorders>
            <w:shd w:val="clear" w:color="000000" w:fill="FFFFFF"/>
            <w:noWrap/>
            <w:vAlign w:val="bottom"/>
            <w:hideMark/>
          </w:tcPr>
          <w:p w14:paraId="2ADAB1E0" w14:textId="77777777" w:rsidR="00102EF1" w:rsidRPr="00102EF1" w:rsidRDefault="00102EF1" w:rsidP="00102EF1">
            <w:pPr>
              <w:keepNext/>
              <w:jc w:val="center"/>
              <w:rPr>
                <w:rFonts w:cs="Calibri"/>
                <w:sz w:val="22"/>
                <w:szCs w:val="22"/>
              </w:rPr>
            </w:pPr>
            <w:r w:rsidRPr="00102EF1">
              <w:rPr>
                <w:rFonts w:cs="Calibri"/>
                <w:sz w:val="22"/>
                <w:szCs w:val="22"/>
              </w:rPr>
              <w:t>-0.01</w:t>
            </w:r>
          </w:p>
        </w:tc>
        <w:tc>
          <w:tcPr>
            <w:tcW w:w="940" w:type="dxa"/>
            <w:tcBorders>
              <w:top w:val="nil"/>
              <w:left w:val="nil"/>
              <w:bottom w:val="nil"/>
              <w:right w:val="nil"/>
            </w:tcBorders>
            <w:shd w:val="clear" w:color="000000" w:fill="FFFFFF"/>
            <w:noWrap/>
            <w:vAlign w:val="bottom"/>
            <w:hideMark/>
          </w:tcPr>
          <w:p w14:paraId="22E6BA17" w14:textId="078DE824" w:rsidR="00102EF1" w:rsidRPr="00102EF1" w:rsidRDefault="00102EF1" w:rsidP="00102EF1">
            <w:pPr>
              <w:keepNext/>
              <w:jc w:val="center"/>
              <w:rPr>
                <w:rFonts w:cs="Calibri"/>
                <w:sz w:val="22"/>
                <w:szCs w:val="22"/>
              </w:rPr>
            </w:pPr>
            <w:r w:rsidRPr="00102EF1">
              <w:rPr>
                <w:rFonts w:cs="Calibri"/>
                <w:sz w:val="22"/>
                <w:szCs w:val="22"/>
              </w:rPr>
              <w:t>0.95</w:t>
            </w:r>
          </w:p>
        </w:tc>
        <w:tc>
          <w:tcPr>
            <w:tcW w:w="960" w:type="dxa"/>
            <w:tcBorders>
              <w:top w:val="nil"/>
              <w:left w:val="nil"/>
              <w:bottom w:val="nil"/>
              <w:right w:val="single" w:sz="4" w:space="0" w:color="auto"/>
            </w:tcBorders>
            <w:shd w:val="clear" w:color="000000" w:fill="FFFFFF"/>
            <w:noWrap/>
            <w:vAlign w:val="bottom"/>
            <w:hideMark/>
          </w:tcPr>
          <w:p w14:paraId="087DC46C" w14:textId="77777777" w:rsidR="00102EF1" w:rsidRPr="00102EF1" w:rsidRDefault="00102EF1" w:rsidP="00102EF1">
            <w:pPr>
              <w:keepNext/>
              <w:jc w:val="center"/>
              <w:rPr>
                <w:rFonts w:cs="Calibri"/>
                <w:sz w:val="22"/>
                <w:szCs w:val="22"/>
              </w:rPr>
            </w:pPr>
            <w:r w:rsidRPr="00102EF1">
              <w:rPr>
                <w:rFonts w:cs="Calibri"/>
                <w:sz w:val="22"/>
                <w:szCs w:val="22"/>
              </w:rPr>
              <w:t>-0.015</w:t>
            </w:r>
          </w:p>
        </w:tc>
        <w:tc>
          <w:tcPr>
            <w:tcW w:w="960" w:type="dxa"/>
            <w:tcBorders>
              <w:top w:val="nil"/>
              <w:left w:val="nil"/>
              <w:bottom w:val="nil"/>
              <w:right w:val="single" w:sz="4" w:space="0" w:color="auto"/>
            </w:tcBorders>
            <w:shd w:val="clear" w:color="000000" w:fill="FFFFFF"/>
            <w:noWrap/>
            <w:vAlign w:val="bottom"/>
            <w:hideMark/>
          </w:tcPr>
          <w:p w14:paraId="5BE52253" w14:textId="77777777" w:rsidR="00102EF1" w:rsidRPr="00102EF1" w:rsidRDefault="00102EF1" w:rsidP="00102EF1">
            <w:pPr>
              <w:keepNext/>
              <w:jc w:val="center"/>
              <w:rPr>
                <w:rFonts w:cs="Calibri"/>
                <w:sz w:val="22"/>
                <w:szCs w:val="22"/>
              </w:rPr>
            </w:pPr>
            <w:r w:rsidRPr="00102EF1">
              <w:rPr>
                <w:rFonts w:cs="Calibri"/>
                <w:sz w:val="22"/>
                <w:szCs w:val="22"/>
              </w:rPr>
              <w:t>-1.6%</w:t>
            </w:r>
          </w:p>
        </w:tc>
        <w:tc>
          <w:tcPr>
            <w:tcW w:w="960" w:type="dxa"/>
            <w:tcBorders>
              <w:top w:val="nil"/>
              <w:left w:val="nil"/>
              <w:bottom w:val="nil"/>
              <w:right w:val="single" w:sz="4" w:space="0" w:color="auto"/>
            </w:tcBorders>
            <w:shd w:val="clear" w:color="000000" w:fill="FFFFFF"/>
            <w:noWrap/>
            <w:vAlign w:val="bottom"/>
            <w:hideMark/>
          </w:tcPr>
          <w:p w14:paraId="0062A1BF" w14:textId="77777777" w:rsidR="00102EF1" w:rsidRPr="00102EF1" w:rsidRDefault="00102EF1" w:rsidP="00102EF1">
            <w:pPr>
              <w:keepNext/>
              <w:jc w:val="center"/>
              <w:rPr>
                <w:rFonts w:cs="Calibri"/>
                <w:sz w:val="22"/>
                <w:szCs w:val="22"/>
              </w:rPr>
            </w:pPr>
            <w:r w:rsidRPr="00102EF1">
              <w:rPr>
                <w:rFonts w:cs="Calibri"/>
                <w:sz w:val="22"/>
                <w:szCs w:val="22"/>
              </w:rPr>
              <w:t>62</w:t>
            </w:r>
          </w:p>
        </w:tc>
      </w:tr>
      <w:tr w:rsidR="00102EF1" w:rsidRPr="00102EF1" w14:paraId="126ACF2A" w14:textId="77777777" w:rsidTr="00237521">
        <w:trPr>
          <w:trHeight w:val="20"/>
          <w:jc w:val="center"/>
        </w:trPr>
        <w:tc>
          <w:tcPr>
            <w:tcW w:w="960" w:type="dxa"/>
            <w:vMerge/>
            <w:tcBorders>
              <w:top w:val="nil"/>
              <w:left w:val="single" w:sz="4" w:space="0" w:color="auto"/>
              <w:bottom w:val="single" w:sz="4" w:space="0" w:color="000000"/>
              <w:right w:val="nil"/>
            </w:tcBorders>
            <w:vAlign w:val="center"/>
            <w:hideMark/>
          </w:tcPr>
          <w:p w14:paraId="5A9B6C95" w14:textId="77777777" w:rsidR="00102EF1" w:rsidRPr="00102EF1" w:rsidRDefault="00102EF1" w:rsidP="00102EF1">
            <w:pPr>
              <w:keepNext/>
              <w:rPr>
                <w:rFonts w:cs="Calibri"/>
                <w:sz w:val="22"/>
                <w:szCs w:val="22"/>
              </w:rPr>
            </w:pP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7A187DE" w14:textId="77777777" w:rsidR="00102EF1" w:rsidRPr="00237521" w:rsidRDefault="00102EF1" w:rsidP="00102EF1">
            <w:pPr>
              <w:keepNext/>
              <w:jc w:val="center"/>
              <w:rPr>
                <w:rFonts w:cs="Calibri"/>
                <w:b/>
                <w:sz w:val="22"/>
                <w:szCs w:val="22"/>
              </w:rPr>
            </w:pPr>
            <w:r w:rsidRPr="00237521">
              <w:rPr>
                <w:rFonts w:cs="Calibri"/>
                <w:b/>
                <w:sz w:val="22"/>
                <w:szCs w:val="22"/>
              </w:rPr>
              <w:t>All</w:t>
            </w:r>
          </w:p>
        </w:tc>
        <w:tc>
          <w:tcPr>
            <w:tcW w:w="1140" w:type="dxa"/>
            <w:tcBorders>
              <w:top w:val="nil"/>
              <w:left w:val="nil"/>
              <w:bottom w:val="single" w:sz="4" w:space="0" w:color="auto"/>
              <w:right w:val="single" w:sz="4" w:space="0" w:color="auto"/>
            </w:tcBorders>
            <w:shd w:val="clear" w:color="000000" w:fill="FFFFFF"/>
            <w:noWrap/>
            <w:vAlign w:val="bottom"/>
            <w:hideMark/>
          </w:tcPr>
          <w:p w14:paraId="2AE60D2B" w14:textId="77777777" w:rsidR="00102EF1" w:rsidRPr="00237521" w:rsidRDefault="00102EF1" w:rsidP="00102EF1">
            <w:pPr>
              <w:keepNext/>
              <w:jc w:val="center"/>
              <w:rPr>
                <w:rFonts w:cs="Calibri"/>
                <w:b/>
                <w:sz w:val="22"/>
                <w:szCs w:val="22"/>
              </w:rPr>
            </w:pPr>
            <w:r w:rsidRPr="00237521">
              <w:rPr>
                <w:rFonts w:cs="Calibri"/>
                <w:b/>
                <w:sz w:val="22"/>
                <w:szCs w:val="22"/>
              </w:rPr>
              <w:t>787</w:t>
            </w:r>
          </w:p>
        </w:tc>
        <w:tc>
          <w:tcPr>
            <w:tcW w:w="960" w:type="dxa"/>
            <w:tcBorders>
              <w:top w:val="nil"/>
              <w:left w:val="nil"/>
              <w:bottom w:val="single" w:sz="4" w:space="0" w:color="auto"/>
              <w:right w:val="nil"/>
            </w:tcBorders>
            <w:shd w:val="clear" w:color="000000" w:fill="FFFFFF"/>
            <w:noWrap/>
            <w:vAlign w:val="bottom"/>
            <w:hideMark/>
          </w:tcPr>
          <w:p w14:paraId="5693E2F7" w14:textId="77777777" w:rsidR="00102EF1" w:rsidRPr="00237521" w:rsidRDefault="00102EF1" w:rsidP="00102EF1">
            <w:pPr>
              <w:keepNext/>
              <w:jc w:val="center"/>
              <w:rPr>
                <w:rFonts w:cs="Calibri"/>
                <w:b/>
                <w:sz w:val="22"/>
                <w:szCs w:val="22"/>
              </w:rPr>
            </w:pPr>
            <w:r w:rsidRPr="00237521">
              <w:rPr>
                <w:rFonts w:cs="Calibri"/>
                <w:b/>
                <w:sz w:val="22"/>
                <w:szCs w:val="22"/>
              </w:rPr>
              <w:t>0.79</w:t>
            </w:r>
          </w:p>
        </w:tc>
        <w:tc>
          <w:tcPr>
            <w:tcW w:w="1000" w:type="dxa"/>
            <w:tcBorders>
              <w:top w:val="nil"/>
              <w:left w:val="nil"/>
              <w:bottom w:val="single" w:sz="4" w:space="0" w:color="auto"/>
              <w:right w:val="single" w:sz="4" w:space="0" w:color="auto"/>
            </w:tcBorders>
            <w:shd w:val="clear" w:color="000000" w:fill="FFFFFF"/>
            <w:noWrap/>
            <w:vAlign w:val="bottom"/>
            <w:hideMark/>
          </w:tcPr>
          <w:p w14:paraId="02770E5A" w14:textId="77777777" w:rsidR="00102EF1" w:rsidRPr="00237521" w:rsidRDefault="00102EF1" w:rsidP="00102EF1">
            <w:pPr>
              <w:keepNext/>
              <w:jc w:val="center"/>
              <w:rPr>
                <w:rFonts w:cs="Calibri"/>
                <w:b/>
                <w:sz w:val="22"/>
                <w:szCs w:val="22"/>
              </w:rPr>
            </w:pPr>
            <w:r w:rsidRPr="00237521">
              <w:rPr>
                <w:rFonts w:cs="Calibri"/>
                <w:b/>
                <w:sz w:val="22"/>
                <w:szCs w:val="22"/>
              </w:rPr>
              <w:t>-0.03</w:t>
            </w:r>
          </w:p>
        </w:tc>
        <w:tc>
          <w:tcPr>
            <w:tcW w:w="940" w:type="dxa"/>
            <w:tcBorders>
              <w:top w:val="nil"/>
              <w:left w:val="nil"/>
              <w:bottom w:val="single" w:sz="4" w:space="0" w:color="auto"/>
              <w:right w:val="nil"/>
            </w:tcBorders>
            <w:shd w:val="clear" w:color="000000" w:fill="FFFFFF"/>
            <w:noWrap/>
            <w:vAlign w:val="bottom"/>
            <w:hideMark/>
          </w:tcPr>
          <w:p w14:paraId="2C6E4666" w14:textId="730D24B3" w:rsidR="00102EF1" w:rsidRPr="00237521" w:rsidRDefault="00102EF1" w:rsidP="00102EF1">
            <w:pPr>
              <w:keepNext/>
              <w:jc w:val="center"/>
              <w:rPr>
                <w:rFonts w:cs="Calibri"/>
                <w:b/>
                <w:sz w:val="22"/>
                <w:szCs w:val="22"/>
              </w:rPr>
            </w:pPr>
            <w:r w:rsidRPr="00237521">
              <w:rPr>
                <w:rFonts w:cs="Calibri"/>
                <w:b/>
                <w:sz w:val="22"/>
                <w:szCs w:val="22"/>
              </w:rPr>
              <w:t>1.01</w:t>
            </w:r>
          </w:p>
        </w:tc>
        <w:tc>
          <w:tcPr>
            <w:tcW w:w="960" w:type="dxa"/>
            <w:tcBorders>
              <w:top w:val="nil"/>
              <w:left w:val="nil"/>
              <w:bottom w:val="single" w:sz="4" w:space="0" w:color="auto"/>
              <w:right w:val="single" w:sz="4" w:space="0" w:color="auto"/>
            </w:tcBorders>
            <w:shd w:val="clear" w:color="000000" w:fill="FFFFFF"/>
            <w:noWrap/>
            <w:vAlign w:val="bottom"/>
            <w:hideMark/>
          </w:tcPr>
          <w:p w14:paraId="1D8F7746" w14:textId="77777777" w:rsidR="00102EF1" w:rsidRPr="00237521" w:rsidRDefault="00102EF1" w:rsidP="00102EF1">
            <w:pPr>
              <w:keepNext/>
              <w:jc w:val="center"/>
              <w:rPr>
                <w:rFonts w:cs="Calibri"/>
                <w:b/>
                <w:sz w:val="22"/>
                <w:szCs w:val="22"/>
              </w:rPr>
            </w:pPr>
            <w:r w:rsidRPr="00237521">
              <w:rPr>
                <w:rFonts w:cs="Calibri"/>
                <w:b/>
                <w:sz w:val="22"/>
                <w:szCs w:val="22"/>
              </w:rPr>
              <w:t>-0.033</w:t>
            </w:r>
          </w:p>
        </w:tc>
        <w:tc>
          <w:tcPr>
            <w:tcW w:w="960" w:type="dxa"/>
            <w:tcBorders>
              <w:top w:val="nil"/>
              <w:left w:val="nil"/>
              <w:bottom w:val="single" w:sz="4" w:space="0" w:color="auto"/>
              <w:right w:val="single" w:sz="4" w:space="0" w:color="auto"/>
            </w:tcBorders>
            <w:shd w:val="clear" w:color="000000" w:fill="FFFFFF"/>
            <w:noWrap/>
            <w:vAlign w:val="bottom"/>
            <w:hideMark/>
          </w:tcPr>
          <w:p w14:paraId="23DF7619" w14:textId="77777777" w:rsidR="00102EF1" w:rsidRPr="00237521" w:rsidRDefault="00102EF1" w:rsidP="00102EF1">
            <w:pPr>
              <w:keepNext/>
              <w:jc w:val="center"/>
              <w:rPr>
                <w:rFonts w:cs="Calibri"/>
                <w:b/>
                <w:sz w:val="22"/>
                <w:szCs w:val="22"/>
              </w:rPr>
            </w:pPr>
            <w:r w:rsidRPr="00237521">
              <w:rPr>
                <w:rFonts w:cs="Calibri"/>
                <w:b/>
                <w:sz w:val="22"/>
                <w:szCs w:val="22"/>
              </w:rPr>
              <w:t>-3.3%</w:t>
            </w:r>
          </w:p>
        </w:tc>
        <w:tc>
          <w:tcPr>
            <w:tcW w:w="960" w:type="dxa"/>
            <w:tcBorders>
              <w:top w:val="nil"/>
              <w:left w:val="nil"/>
              <w:bottom w:val="single" w:sz="4" w:space="0" w:color="auto"/>
              <w:right w:val="single" w:sz="4" w:space="0" w:color="auto"/>
            </w:tcBorders>
            <w:shd w:val="clear" w:color="000000" w:fill="FFFFFF"/>
            <w:noWrap/>
            <w:vAlign w:val="bottom"/>
            <w:hideMark/>
          </w:tcPr>
          <w:p w14:paraId="4EC2635D" w14:textId="77777777" w:rsidR="00102EF1" w:rsidRPr="00237521" w:rsidRDefault="00102EF1" w:rsidP="00102EF1">
            <w:pPr>
              <w:keepNext/>
              <w:jc w:val="center"/>
              <w:rPr>
                <w:rFonts w:cs="Calibri"/>
                <w:b/>
                <w:sz w:val="22"/>
                <w:szCs w:val="22"/>
              </w:rPr>
            </w:pPr>
            <w:r w:rsidRPr="00237521">
              <w:rPr>
                <w:rFonts w:cs="Calibri"/>
                <w:b/>
                <w:sz w:val="22"/>
                <w:szCs w:val="22"/>
              </w:rPr>
              <w:t>62</w:t>
            </w:r>
          </w:p>
        </w:tc>
      </w:tr>
    </w:tbl>
    <w:p w14:paraId="1BF1DAD8" w14:textId="77777777" w:rsidR="00102EF1" w:rsidRDefault="00102EF1" w:rsidP="00237521"/>
    <w:p w14:paraId="38887E73" w14:textId="3170196A" w:rsidR="006D42C7" w:rsidRDefault="006D42C7" w:rsidP="00095AB1">
      <w:pPr>
        <w:spacing w:after="120"/>
      </w:pPr>
      <w:r>
        <w:t xml:space="preserve">Combining results across months and considering the effect of TOU on average </w:t>
      </w:r>
      <w:r w:rsidRPr="003321E8">
        <w:rPr>
          <w:i/>
        </w:rPr>
        <w:t>daily</w:t>
      </w:r>
      <w:r>
        <w:t xml:space="preserve"> usage, we find that TOU customers </w:t>
      </w:r>
      <w:r w:rsidR="00F727C9">
        <w:rPr>
          <w:i/>
        </w:rPr>
        <w:t>increased</w:t>
      </w:r>
      <w:r>
        <w:t xml:space="preserve"> their energy consumption by an annual average of approximately </w:t>
      </w:r>
      <w:r w:rsidR="008E0D46">
        <w:t xml:space="preserve">2 </w:t>
      </w:r>
      <w:r>
        <w:t>percent.</w:t>
      </w:r>
    </w:p>
    <w:p w14:paraId="256EA972" w14:textId="2834911F" w:rsidR="006D42C7" w:rsidRPr="005A5919" w:rsidRDefault="006D42C7" w:rsidP="00095AB1">
      <w:pPr>
        <w:pStyle w:val="Heading3"/>
        <w:spacing w:after="120"/>
        <w:rPr>
          <w:sz w:val="24"/>
        </w:rPr>
      </w:pPr>
      <w:bookmarkStart w:id="31" w:name="_Toc509576739"/>
      <w:r w:rsidRPr="005A5919">
        <w:rPr>
          <w:sz w:val="24"/>
        </w:rPr>
        <w:t>TOU</w:t>
      </w:r>
      <w:r>
        <w:rPr>
          <w:sz w:val="24"/>
        </w:rPr>
        <w:t xml:space="preserve"> peak load impacts –</w:t>
      </w:r>
      <w:r w:rsidR="004E1870">
        <w:rPr>
          <w:sz w:val="24"/>
        </w:rPr>
        <w:t xml:space="preserve"> </w:t>
      </w:r>
      <w:r w:rsidR="005E5D58">
        <w:rPr>
          <w:sz w:val="24"/>
        </w:rPr>
        <w:t>CPP</w:t>
      </w:r>
      <w:r>
        <w:rPr>
          <w:sz w:val="24"/>
        </w:rPr>
        <w:t xml:space="preserve"> (TOU-DR-P)</w:t>
      </w:r>
      <w:bookmarkEnd w:id="31"/>
    </w:p>
    <w:p w14:paraId="28FFD9A2" w14:textId="23EE0725" w:rsidR="006D42C7" w:rsidRDefault="006D42C7" w:rsidP="00095AB1">
      <w:pPr>
        <w:spacing w:after="120"/>
      </w:pPr>
      <w:r>
        <w:t>Since TOU-DR-P customers experience TOU prices on all weekdays that are not RYU/CPP event days, it is of interest to examine their average usage changes on non-event days, similarly to TOU customers. Table ES.4 s</w:t>
      </w:r>
      <w:r w:rsidR="003321E8">
        <w:t>hows</w:t>
      </w:r>
      <w:r>
        <w:t xml:space="preserve"> </w:t>
      </w:r>
      <w:r w:rsidR="00237521">
        <w:t>load</w:t>
      </w:r>
      <w:r>
        <w:t xml:space="preserve"> and load </w:t>
      </w:r>
      <w:r w:rsidR="009E12A5">
        <w:t>impacts</w:t>
      </w:r>
      <w:r>
        <w:t xml:space="preserve"> for the average summer (</w:t>
      </w:r>
      <w:r w:rsidR="0067520C">
        <w:t>October 201</w:t>
      </w:r>
      <w:r w:rsidR="009E12A5">
        <w:t>6</w:t>
      </w:r>
      <w:r w:rsidR="0067520C">
        <w:t xml:space="preserve">, and </w:t>
      </w:r>
      <w:r>
        <w:t>May through September 201</w:t>
      </w:r>
      <w:r w:rsidR="009E12A5">
        <w:t>7</w:t>
      </w:r>
      <w:r>
        <w:t xml:space="preserve">) and </w:t>
      </w:r>
      <w:r w:rsidR="00F23CC4">
        <w:t>winter</w:t>
      </w:r>
      <w:r>
        <w:t xml:space="preserve"> (November 201</w:t>
      </w:r>
      <w:r w:rsidR="009E12A5">
        <w:t>6</w:t>
      </w:r>
      <w:r>
        <w:t xml:space="preserve"> through April 201</w:t>
      </w:r>
      <w:r w:rsidR="009E12A5">
        <w:t>7</w:t>
      </w:r>
      <w:r>
        <w:t xml:space="preserve">) weekdays, by month. Enrollment in </w:t>
      </w:r>
      <w:r w:rsidR="005E5D58">
        <w:t>CPP</w:t>
      </w:r>
      <w:r>
        <w:t xml:space="preserve"> grew from </w:t>
      </w:r>
      <w:r w:rsidR="00DB60E5">
        <w:t>2,724</w:t>
      </w:r>
      <w:r w:rsidR="00BB1ED6">
        <w:t xml:space="preserve"> </w:t>
      </w:r>
      <w:r>
        <w:t>in October 201</w:t>
      </w:r>
      <w:r w:rsidR="00DB60E5">
        <w:t>6</w:t>
      </w:r>
      <w:r>
        <w:t xml:space="preserve"> to </w:t>
      </w:r>
      <w:r w:rsidR="00DE01CA">
        <w:t xml:space="preserve">approximately </w:t>
      </w:r>
      <w:r w:rsidR="00DB60E5">
        <w:t xml:space="preserve">5,229 </w:t>
      </w:r>
      <w:r>
        <w:t>in September 201</w:t>
      </w:r>
      <w:r w:rsidR="00DB60E5">
        <w:t>7</w:t>
      </w:r>
      <w:r w:rsidR="00DE01CA">
        <w:t>.</w:t>
      </w:r>
      <w:r w:rsidR="00DE01CA">
        <w:rPr>
          <w:rStyle w:val="FootnoteReference"/>
        </w:rPr>
        <w:footnoteReference w:id="4"/>
      </w:r>
      <w:r w:rsidR="00DE01CA">
        <w:t xml:space="preserve"> </w:t>
      </w:r>
      <w:r w:rsidR="00DB60E5">
        <w:t xml:space="preserve">Summer </w:t>
      </w:r>
      <w:r w:rsidR="009E12A5">
        <w:t xml:space="preserve">TOU </w:t>
      </w:r>
      <w:r w:rsidR="00DB60E5">
        <w:t xml:space="preserve">peak load impacts varied across months, with load </w:t>
      </w:r>
      <w:r w:rsidR="009E12A5">
        <w:t>reductions in all months</w:t>
      </w:r>
      <w:r w:rsidR="00DB60E5">
        <w:t xml:space="preserve"> except October</w:t>
      </w:r>
      <w:r w:rsidR="009E12A5">
        <w:t>. Load impacts in winter months were smaller</w:t>
      </w:r>
      <w:r w:rsidR="00DB60E5">
        <w:t>.</w:t>
      </w:r>
    </w:p>
    <w:p w14:paraId="1F5E2531" w14:textId="27895EB7" w:rsidR="00FB1F15" w:rsidRDefault="006D42C7" w:rsidP="00CE722A">
      <w:pPr>
        <w:pStyle w:val="TableCaption"/>
        <w:keepNext/>
        <w:keepLines/>
      </w:pPr>
      <w:bookmarkStart w:id="32" w:name="_Toc509576787"/>
      <w:r>
        <w:lastRenderedPageBreak/>
        <w:t xml:space="preserve">Table ES.4: </w:t>
      </w:r>
      <w:r w:rsidR="003E541C">
        <w:t>TOU</w:t>
      </w:r>
      <w:r>
        <w:t xml:space="preserve"> Peak Load Impacts </w:t>
      </w:r>
      <w:r w:rsidR="003E541C">
        <w:t>for CPP Customers</w:t>
      </w:r>
      <w:r w:rsidR="006D4EEC">
        <w:t xml:space="preserve"> </w:t>
      </w:r>
      <w:r>
        <w:t xml:space="preserve">– </w:t>
      </w:r>
      <w:r w:rsidRPr="00222B7F">
        <w:rPr>
          <w:i/>
        </w:rPr>
        <w:t xml:space="preserve">Average Weekday by </w:t>
      </w:r>
      <w:r>
        <w:rPr>
          <w:i/>
        </w:rPr>
        <w:t>Month</w:t>
      </w:r>
      <w:bookmarkEnd w:id="32"/>
      <w:r>
        <w:t xml:space="preserve"> </w:t>
      </w:r>
    </w:p>
    <w:tbl>
      <w:tblPr>
        <w:tblW w:w="8880" w:type="dxa"/>
        <w:jc w:val="center"/>
        <w:tblLook w:val="04A0" w:firstRow="1" w:lastRow="0" w:firstColumn="1" w:lastColumn="0" w:noHBand="0" w:noVBand="1"/>
      </w:tblPr>
      <w:tblGrid>
        <w:gridCol w:w="1200"/>
        <w:gridCol w:w="960"/>
        <w:gridCol w:w="975"/>
        <w:gridCol w:w="1076"/>
        <w:gridCol w:w="1076"/>
        <w:gridCol w:w="989"/>
        <w:gridCol w:w="989"/>
        <w:gridCol w:w="960"/>
        <w:gridCol w:w="960"/>
      </w:tblGrid>
      <w:tr w:rsidR="00CE722A" w:rsidRPr="00CE722A" w14:paraId="6160CC5A" w14:textId="77777777" w:rsidTr="00347C60">
        <w:trPr>
          <w:trHeight w:val="300"/>
          <w:jc w:val="center"/>
        </w:trPr>
        <w:tc>
          <w:tcPr>
            <w:tcW w:w="1200" w:type="dxa"/>
            <w:tcBorders>
              <w:top w:val="single" w:sz="4" w:space="0" w:color="auto"/>
              <w:left w:val="single" w:sz="4" w:space="0" w:color="auto"/>
              <w:bottom w:val="nil"/>
              <w:right w:val="single" w:sz="4" w:space="0" w:color="FFFFFF"/>
            </w:tcBorders>
            <w:shd w:val="clear" w:color="000000" w:fill="132577"/>
            <w:noWrap/>
            <w:vAlign w:val="bottom"/>
            <w:hideMark/>
          </w:tcPr>
          <w:p w14:paraId="5CC8B924" w14:textId="77777777" w:rsidR="00CE722A" w:rsidRPr="00CE722A" w:rsidRDefault="00CE722A" w:rsidP="00CE722A">
            <w:pPr>
              <w:keepNext/>
              <w:rPr>
                <w:rFonts w:cs="Calibri"/>
                <w:color w:val="FFFFFF"/>
                <w:sz w:val="22"/>
                <w:szCs w:val="22"/>
              </w:rPr>
            </w:pPr>
            <w:r w:rsidRPr="00CE722A">
              <w:rPr>
                <w:rFonts w:cs="Calibri"/>
                <w:color w:val="FFFFFF"/>
                <w:sz w:val="22"/>
                <w:szCs w:val="22"/>
              </w:rPr>
              <w:t> </w:t>
            </w:r>
          </w:p>
        </w:tc>
        <w:tc>
          <w:tcPr>
            <w:tcW w:w="960" w:type="dxa"/>
            <w:tcBorders>
              <w:top w:val="single" w:sz="4" w:space="0" w:color="auto"/>
              <w:left w:val="nil"/>
              <w:bottom w:val="nil"/>
              <w:right w:val="single" w:sz="4" w:space="0" w:color="FFFFFF"/>
            </w:tcBorders>
            <w:shd w:val="clear" w:color="000000" w:fill="132577"/>
            <w:noWrap/>
            <w:vAlign w:val="bottom"/>
            <w:hideMark/>
          </w:tcPr>
          <w:p w14:paraId="1B73848E" w14:textId="77777777" w:rsidR="00CE722A" w:rsidRPr="00CE722A" w:rsidRDefault="00CE722A" w:rsidP="00CE722A">
            <w:pPr>
              <w:keepNext/>
              <w:rPr>
                <w:rFonts w:cs="Calibri"/>
                <w:color w:val="FFFFFF"/>
                <w:sz w:val="22"/>
                <w:szCs w:val="22"/>
              </w:rPr>
            </w:pPr>
            <w:r w:rsidRPr="00CE722A">
              <w:rPr>
                <w:rFonts w:cs="Calibri"/>
                <w:color w:val="FFFFFF"/>
                <w:sz w:val="22"/>
                <w:szCs w:val="22"/>
              </w:rPr>
              <w:t> </w:t>
            </w:r>
          </w:p>
        </w:tc>
        <w:tc>
          <w:tcPr>
            <w:tcW w:w="960" w:type="dxa"/>
            <w:tcBorders>
              <w:top w:val="single" w:sz="4" w:space="0" w:color="auto"/>
              <w:left w:val="nil"/>
              <w:bottom w:val="nil"/>
              <w:right w:val="single" w:sz="4" w:space="0" w:color="FFFFFF"/>
            </w:tcBorders>
            <w:shd w:val="clear" w:color="000000" w:fill="132577"/>
            <w:noWrap/>
            <w:vAlign w:val="bottom"/>
            <w:hideMark/>
          </w:tcPr>
          <w:p w14:paraId="39B0F355" w14:textId="77777777" w:rsidR="00CE722A" w:rsidRPr="00CE722A" w:rsidRDefault="00CE722A" w:rsidP="00CE722A">
            <w:pPr>
              <w:keepNext/>
              <w:rPr>
                <w:rFonts w:cs="Calibri"/>
                <w:color w:val="FFFFFF"/>
                <w:sz w:val="22"/>
                <w:szCs w:val="22"/>
              </w:rPr>
            </w:pPr>
            <w:r w:rsidRPr="00CE722A">
              <w:rPr>
                <w:rFonts w:cs="Calibri"/>
                <w:color w:val="FFFFFF"/>
                <w:sz w:val="22"/>
                <w:szCs w:val="22"/>
              </w:rPr>
              <w:t> </w:t>
            </w:r>
          </w:p>
        </w:tc>
        <w:tc>
          <w:tcPr>
            <w:tcW w:w="1920" w:type="dxa"/>
            <w:gridSpan w:val="2"/>
            <w:tcBorders>
              <w:top w:val="single" w:sz="4" w:space="0" w:color="auto"/>
              <w:left w:val="nil"/>
              <w:bottom w:val="single" w:sz="4" w:space="0" w:color="FFFFFF"/>
              <w:right w:val="single" w:sz="4" w:space="0" w:color="FFFFFF"/>
            </w:tcBorders>
            <w:shd w:val="clear" w:color="000000" w:fill="132577"/>
            <w:noWrap/>
            <w:vAlign w:val="bottom"/>
            <w:hideMark/>
          </w:tcPr>
          <w:p w14:paraId="5473E31D" w14:textId="77777777" w:rsidR="00CE722A" w:rsidRPr="00CE722A" w:rsidRDefault="00CE722A" w:rsidP="00CE722A">
            <w:pPr>
              <w:keepNext/>
              <w:jc w:val="center"/>
              <w:rPr>
                <w:rFonts w:cs="Calibri"/>
                <w:b/>
                <w:bCs/>
                <w:color w:val="FFFFFF"/>
                <w:sz w:val="22"/>
                <w:szCs w:val="22"/>
              </w:rPr>
            </w:pPr>
            <w:r w:rsidRPr="00CE722A">
              <w:rPr>
                <w:rFonts w:cs="Calibri"/>
                <w:b/>
                <w:bCs/>
                <w:color w:val="FFFFFF"/>
                <w:sz w:val="22"/>
                <w:szCs w:val="22"/>
              </w:rPr>
              <w:t>Aggregate</w:t>
            </w:r>
          </w:p>
        </w:tc>
        <w:tc>
          <w:tcPr>
            <w:tcW w:w="1920" w:type="dxa"/>
            <w:gridSpan w:val="2"/>
            <w:tcBorders>
              <w:top w:val="single" w:sz="4" w:space="0" w:color="auto"/>
              <w:left w:val="nil"/>
              <w:bottom w:val="single" w:sz="4" w:space="0" w:color="FFFFFF"/>
              <w:right w:val="single" w:sz="4" w:space="0" w:color="FFFFFF"/>
            </w:tcBorders>
            <w:shd w:val="clear" w:color="000000" w:fill="132577"/>
            <w:noWrap/>
            <w:vAlign w:val="bottom"/>
            <w:hideMark/>
          </w:tcPr>
          <w:p w14:paraId="7CDCA433" w14:textId="77777777" w:rsidR="00CE722A" w:rsidRPr="00CE722A" w:rsidRDefault="00CE722A" w:rsidP="00CE722A">
            <w:pPr>
              <w:keepNext/>
              <w:jc w:val="center"/>
              <w:rPr>
                <w:rFonts w:cs="Calibri"/>
                <w:b/>
                <w:bCs/>
                <w:color w:val="FFFFFF"/>
                <w:sz w:val="22"/>
                <w:szCs w:val="22"/>
              </w:rPr>
            </w:pPr>
            <w:r w:rsidRPr="00CE722A">
              <w:rPr>
                <w:rFonts w:cs="Calibri"/>
                <w:b/>
                <w:bCs/>
                <w:color w:val="FFFFFF"/>
                <w:sz w:val="22"/>
                <w:szCs w:val="22"/>
              </w:rPr>
              <w:t>Per-Customer</w:t>
            </w:r>
          </w:p>
        </w:tc>
        <w:tc>
          <w:tcPr>
            <w:tcW w:w="960" w:type="dxa"/>
            <w:tcBorders>
              <w:top w:val="single" w:sz="4" w:space="0" w:color="auto"/>
              <w:left w:val="nil"/>
              <w:bottom w:val="nil"/>
              <w:right w:val="nil"/>
            </w:tcBorders>
            <w:shd w:val="clear" w:color="000000" w:fill="132577"/>
            <w:noWrap/>
            <w:vAlign w:val="bottom"/>
            <w:hideMark/>
          </w:tcPr>
          <w:p w14:paraId="37944279" w14:textId="77777777" w:rsidR="00CE722A" w:rsidRPr="00CE722A" w:rsidRDefault="00CE722A" w:rsidP="00CE722A">
            <w:pPr>
              <w:keepNext/>
              <w:rPr>
                <w:rFonts w:cs="Calibri"/>
                <w:color w:val="FFFFFF"/>
                <w:sz w:val="22"/>
                <w:szCs w:val="22"/>
              </w:rPr>
            </w:pPr>
            <w:r w:rsidRPr="00CE722A">
              <w:rPr>
                <w:rFonts w:cs="Calibri"/>
                <w:color w:val="FFFFFF"/>
                <w:sz w:val="22"/>
                <w:szCs w:val="22"/>
              </w:rPr>
              <w:t> </w:t>
            </w:r>
          </w:p>
        </w:tc>
        <w:tc>
          <w:tcPr>
            <w:tcW w:w="960" w:type="dxa"/>
            <w:tcBorders>
              <w:top w:val="single" w:sz="4" w:space="0" w:color="auto"/>
              <w:left w:val="single" w:sz="4" w:space="0" w:color="FFFFFF"/>
              <w:bottom w:val="nil"/>
              <w:right w:val="single" w:sz="4" w:space="0" w:color="auto"/>
            </w:tcBorders>
            <w:shd w:val="clear" w:color="000000" w:fill="132577"/>
            <w:noWrap/>
            <w:vAlign w:val="bottom"/>
            <w:hideMark/>
          </w:tcPr>
          <w:p w14:paraId="4DC6DEDE" w14:textId="77777777" w:rsidR="00CE722A" w:rsidRPr="00CE722A" w:rsidRDefault="00CE722A" w:rsidP="00CE722A">
            <w:pPr>
              <w:keepNext/>
              <w:rPr>
                <w:rFonts w:cs="Calibri"/>
                <w:color w:val="FFFFFF"/>
                <w:sz w:val="22"/>
                <w:szCs w:val="22"/>
              </w:rPr>
            </w:pPr>
            <w:r w:rsidRPr="00CE722A">
              <w:rPr>
                <w:rFonts w:cs="Calibri"/>
                <w:color w:val="FFFFFF"/>
                <w:sz w:val="22"/>
                <w:szCs w:val="22"/>
              </w:rPr>
              <w:t> </w:t>
            </w:r>
          </w:p>
        </w:tc>
      </w:tr>
      <w:tr w:rsidR="00CE722A" w:rsidRPr="00CE722A" w14:paraId="3CE8B43C" w14:textId="77777777" w:rsidTr="0010027E">
        <w:trPr>
          <w:trHeight w:val="1008"/>
          <w:jc w:val="center"/>
        </w:trPr>
        <w:tc>
          <w:tcPr>
            <w:tcW w:w="1200" w:type="dxa"/>
            <w:tcBorders>
              <w:top w:val="nil"/>
              <w:left w:val="single" w:sz="4" w:space="0" w:color="auto"/>
              <w:bottom w:val="single" w:sz="4" w:space="0" w:color="auto"/>
              <w:right w:val="single" w:sz="4" w:space="0" w:color="FFFFFF"/>
            </w:tcBorders>
            <w:shd w:val="clear" w:color="auto" w:fill="0C2577"/>
            <w:noWrap/>
            <w:vAlign w:val="bottom"/>
            <w:hideMark/>
          </w:tcPr>
          <w:p w14:paraId="598C9380" w14:textId="77777777" w:rsidR="00CE722A" w:rsidRPr="00CE722A" w:rsidRDefault="00CE722A" w:rsidP="00CE722A">
            <w:pPr>
              <w:keepNext/>
              <w:jc w:val="center"/>
              <w:rPr>
                <w:rFonts w:cs="Calibri"/>
                <w:b/>
                <w:bCs/>
                <w:color w:val="FFFFFF"/>
                <w:sz w:val="22"/>
                <w:szCs w:val="22"/>
              </w:rPr>
            </w:pPr>
            <w:r w:rsidRPr="00CE722A">
              <w:rPr>
                <w:rFonts w:cs="Calibri"/>
                <w:b/>
                <w:bCs/>
                <w:color w:val="FFFFFF"/>
                <w:sz w:val="22"/>
                <w:szCs w:val="22"/>
              </w:rPr>
              <w:t>Month</w:t>
            </w:r>
          </w:p>
        </w:tc>
        <w:tc>
          <w:tcPr>
            <w:tcW w:w="960" w:type="dxa"/>
            <w:tcBorders>
              <w:top w:val="nil"/>
              <w:left w:val="nil"/>
              <w:bottom w:val="single" w:sz="4" w:space="0" w:color="auto"/>
              <w:right w:val="single" w:sz="4" w:space="0" w:color="FFFFFF"/>
            </w:tcBorders>
            <w:shd w:val="clear" w:color="auto" w:fill="0C2577"/>
            <w:vAlign w:val="bottom"/>
            <w:hideMark/>
          </w:tcPr>
          <w:p w14:paraId="01038A8B" w14:textId="77777777" w:rsidR="00CE722A" w:rsidRPr="00CE722A" w:rsidRDefault="00CE722A" w:rsidP="00CE722A">
            <w:pPr>
              <w:keepNext/>
              <w:jc w:val="center"/>
              <w:rPr>
                <w:rFonts w:cs="Calibri"/>
                <w:b/>
                <w:bCs/>
                <w:color w:val="FFFFFF"/>
                <w:sz w:val="22"/>
                <w:szCs w:val="22"/>
              </w:rPr>
            </w:pPr>
            <w:r w:rsidRPr="00CE722A">
              <w:rPr>
                <w:rFonts w:cs="Calibri"/>
                <w:b/>
                <w:bCs/>
                <w:color w:val="FFFFFF"/>
                <w:sz w:val="22"/>
                <w:szCs w:val="22"/>
              </w:rPr>
              <w:t>Climate Zone</w:t>
            </w:r>
          </w:p>
        </w:tc>
        <w:tc>
          <w:tcPr>
            <w:tcW w:w="960" w:type="dxa"/>
            <w:tcBorders>
              <w:top w:val="nil"/>
              <w:left w:val="nil"/>
              <w:bottom w:val="single" w:sz="4" w:space="0" w:color="auto"/>
              <w:right w:val="single" w:sz="4" w:space="0" w:color="FFFFFF"/>
            </w:tcBorders>
            <w:shd w:val="clear" w:color="auto" w:fill="0C2577"/>
            <w:vAlign w:val="bottom"/>
            <w:hideMark/>
          </w:tcPr>
          <w:p w14:paraId="7FE69F54" w14:textId="77777777" w:rsidR="00CE722A" w:rsidRPr="00CE722A" w:rsidRDefault="00CE722A" w:rsidP="00CE722A">
            <w:pPr>
              <w:keepNext/>
              <w:jc w:val="center"/>
              <w:rPr>
                <w:rFonts w:cs="Calibri"/>
                <w:b/>
                <w:bCs/>
                <w:color w:val="FFFFFF"/>
                <w:sz w:val="22"/>
                <w:szCs w:val="22"/>
              </w:rPr>
            </w:pPr>
            <w:r w:rsidRPr="00CE722A">
              <w:rPr>
                <w:rFonts w:cs="Calibri"/>
                <w:b/>
                <w:bCs/>
                <w:color w:val="FFFFFF"/>
                <w:sz w:val="22"/>
                <w:szCs w:val="22"/>
              </w:rPr>
              <w:t>Enrolled</w:t>
            </w:r>
          </w:p>
        </w:tc>
        <w:tc>
          <w:tcPr>
            <w:tcW w:w="960" w:type="dxa"/>
            <w:tcBorders>
              <w:top w:val="nil"/>
              <w:left w:val="nil"/>
              <w:bottom w:val="nil"/>
              <w:right w:val="nil"/>
            </w:tcBorders>
            <w:shd w:val="clear" w:color="auto" w:fill="0C2577"/>
            <w:vAlign w:val="bottom"/>
            <w:hideMark/>
          </w:tcPr>
          <w:p w14:paraId="4D7B597E" w14:textId="77777777" w:rsidR="00CE722A" w:rsidRPr="00CE722A" w:rsidRDefault="00CE722A" w:rsidP="00CE722A">
            <w:pPr>
              <w:keepNext/>
              <w:jc w:val="center"/>
              <w:rPr>
                <w:rFonts w:cs="Calibri"/>
                <w:b/>
                <w:bCs/>
                <w:color w:val="FFFFFF"/>
                <w:sz w:val="22"/>
                <w:szCs w:val="22"/>
              </w:rPr>
            </w:pPr>
            <w:r w:rsidRPr="00CE722A">
              <w:rPr>
                <w:rFonts w:cs="Calibri"/>
                <w:b/>
                <w:bCs/>
                <w:color w:val="FFFFFF"/>
                <w:sz w:val="22"/>
                <w:szCs w:val="22"/>
              </w:rPr>
              <w:t>Peak Ref. Load (MWh/h)</w:t>
            </w:r>
          </w:p>
        </w:tc>
        <w:tc>
          <w:tcPr>
            <w:tcW w:w="960" w:type="dxa"/>
            <w:tcBorders>
              <w:top w:val="nil"/>
              <w:left w:val="nil"/>
              <w:bottom w:val="nil"/>
              <w:right w:val="single" w:sz="4" w:space="0" w:color="FFFFFF"/>
            </w:tcBorders>
            <w:shd w:val="clear" w:color="auto" w:fill="0C2577"/>
            <w:vAlign w:val="bottom"/>
            <w:hideMark/>
          </w:tcPr>
          <w:p w14:paraId="10252572" w14:textId="77777777" w:rsidR="00CE722A" w:rsidRPr="00CE722A" w:rsidRDefault="00CE722A" w:rsidP="00CE722A">
            <w:pPr>
              <w:keepNext/>
              <w:jc w:val="center"/>
              <w:rPr>
                <w:rFonts w:cs="Calibri"/>
                <w:b/>
                <w:bCs/>
                <w:color w:val="FFFFFF"/>
                <w:sz w:val="22"/>
                <w:szCs w:val="22"/>
              </w:rPr>
            </w:pPr>
            <w:r w:rsidRPr="00CE722A">
              <w:rPr>
                <w:rFonts w:cs="Calibri"/>
                <w:b/>
                <w:bCs/>
                <w:color w:val="FFFFFF"/>
                <w:sz w:val="22"/>
                <w:szCs w:val="22"/>
              </w:rPr>
              <w:t>Peak Load Impact (MWh/h)</w:t>
            </w:r>
          </w:p>
        </w:tc>
        <w:tc>
          <w:tcPr>
            <w:tcW w:w="960" w:type="dxa"/>
            <w:tcBorders>
              <w:top w:val="nil"/>
              <w:left w:val="nil"/>
              <w:bottom w:val="nil"/>
              <w:right w:val="nil"/>
            </w:tcBorders>
            <w:shd w:val="clear" w:color="auto" w:fill="0C2577"/>
            <w:vAlign w:val="bottom"/>
            <w:hideMark/>
          </w:tcPr>
          <w:p w14:paraId="7C1A44C0" w14:textId="30B84B30" w:rsidR="00CE722A" w:rsidRPr="00CE722A" w:rsidRDefault="00CE722A" w:rsidP="00CE722A">
            <w:pPr>
              <w:keepNext/>
              <w:jc w:val="center"/>
              <w:rPr>
                <w:rFonts w:cs="Calibri"/>
                <w:b/>
                <w:bCs/>
                <w:color w:val="FFFFFF"/>
                <w:sz w:val="22"/>
                <w:szCs w:val="22"/>
              </w:rPr>
            </w:pPr>
            <w:r w:rsidRPr="00CE722A">
              <w:rPr>
                <w:rFonts w:cs="Calibri"/>
                <w:b/>
                <w:bCs/>
                <w:color w:val="FFFFFF"/>
                <w:sz w:val="22"/>
                <w:szCs w:val="22"/>
              </w:rPr>
              <w:t>Peak Ref. Load (kW</w:t>
            </w:r>
            <w:r w:rsidR="009E5557">
              <w:rPr>
                <w:rFonts w:cs="Calibri"/>
                <w:b/>
                <w:bCs/>
                <w:color w:val="FFFFFF"/>
                <w:sz w:val="22"/>
                <w:szCs w:val="22"/>
              </w:rPr>
              <w:t>h/h</w:t>
            </w:r>
            <w:r w:rsidRPr="00CE722A">
              <w:rPr>
                <w:rFonts w:cs="Calibri"/>
                <w:b/>
                <w:bCs/>
                <w:color w:val="FFFFFF"/>
                <w:sz w:val="22"/>
                <w:szCs w:val="22"/>
              </w:rPr>
              <w:t>)</w:t>
            </w:r>
          </w:p>
        </w:tc>
        <w:tc>
          <w:tcPr>
            <w:tcW w:w="960" w:type="dxa"/>
            <w:tcBorders>
              <w:top w:val="nil"/>
              <w:left w:val="nil"/>
              <w:bottom w:val="nil"/>
              <w:right w:val="single" w:sz="4" w:space="0" w:color="FFFFFF"/>
            </w:tcBorders>
            <w:shd w:val="clear" w:color="auto" w:fill="0C2577"/>
            <w:vAlign w:val="bottom"/>
            <w:hideMark/>
          </w:tcPr>
          <w:p w14:paraId="16CC7EC0" w14:textId="3FB7CE80" w:rsidR="00CE722A" w:rsidRPr="00CE722A" w:rsidRDefault="00CE722A" w:rsidP="00CE722A">
            <w:pPr>
              <w:keepNext/>
              <w:jc w:val="center"/>
              <w:rPr>
                <w:rFonts w:cs="Calibri"/>
                <w:b/>
                <w:bCs/>
                <w:color w:val="FFFFFF"/>
                <w:sz w:val="22"/>
                <w:szCs w:val="22"/>
              </w:rPr>
            </w:pPr>
            <w:r w:rsidRPr="00CE722A">
              <w:rPr>
                <w:rFonts w:cs="Calibri"/>
                <w:b/>
                <w:bCs/>
                <w:color w:val="FFFFFF"/>
                <w:sz w:val="22"/>
                <w:szCs w:val="22"/>
              </w:rPr>
              <w:t>Peak Load Impact (kW</w:t>
            </w:r>
            <w:r w:rsidR="009E5557">
              <w:rPr>
                <w:rFonts w:cs="Calibri"/>
                <w:b/>
                <w:bCs/>
                <w:color w:val="FFFFFF"/>
                <w:sz w:val="22"/>
                <w:szCs w:val="22"/>
              </w:rPr>
              <w:t>h/h</w:t>
            </w:r>
            <w:r w:rsidRPr="00CE722A">
              <w:rPr>
                <w:rFonts w:cs="Calibri"/>
                <w:b/>
                <w:bCs/>
                <w:color w:val="FFFFFF"/>
                <w:sz w:val="22"/>
                <w:szCs w:val="22"/>
              </w:rPr>
              <w:t>)</w:t>
            </w:r>
          </w:p>
        </w:tc>
        <w:tc>
          <w:tcPr>
            <w:tcW w:w="960" w:type="dxa"/>
            <w:tcBorders>
              <w:top w:val="nil"/>
              <w:left w:val="nil"/>
              <w:bottom w:val="nil"/>
              <w:right w:val="nil"/>
            </w:tcBorders>
            <w:shd w:val="clear" w:color="auto" w:fill="0C2577"/>
            <w:vAlign w:val="bottom"/>
            <w:hideMark/>
          </w:tcPr>
          <w:p w14:paraId="3E274F1C" w14:textId="77777777" w:rsidR="00CE722A" w:rsidRPr="00CE722A" w:rsidRDefault="00CE722A" w:rsidP="00CE722A">
            <w:pPr>
              <w:keepNext/>
              <w:jc w:val="center"/>
              <w:rPr>
                <w:rFonts w:cs="Calibri"/>
                <w:b/>
                <w:bCs/>
                <w:color w:val="FFFFFF"/>
                <w:sz w:val="22"/>
                <w:szCs w:val="22"/>
              </w:rPr>
            </w:pPr>
            <w:r w:rsidRPr="00CE722A">
              <w:rPr>
                <w:rFonts w:cs="Calibri"/>
                <w:b/>
                <w:bCs/>
                <w:color w:val="FFFFFF"/>
                <w:sz w:val="22"/>
                <w:szCs w:val="22"/>
              </w:rPr>
              <w:t>% Peak Load Impact</w:t>
            </w:r>
          </w:p>
        </w:tc>
        <w:tc>
          <w:tcPr>
            <w:tcW w:w="960" w:type="dxa"/>
            <w:tcBorders>
              <w:top w:val="nil"/>
              <w:left w:val="single" w:sz="4" w:space="0" w:color="FFFFFF"/>
              <w:bottom w:val="single" w:sz="4" w:space="0" w:color="auto"/>
              <w:right w:val="single" w:sz="4" w:space="0" w:color="auto"/>
            </w:tcBorders>
            <w:shd w:val="clear" w:color="auto" w:fill="0C2577"/>
            <w:vAlign w:val="bottom"/>
            <w:hideMark/>
          </w:tcPr>
          <w:p w14:paraId="0512CA54" w14:textId="77777777" w:rsidR="00CE722A" w:rsidRPr="00CE722A" w:rsidRDefault="00CE722A" w:rsidP="00CE722A">
            <w:pPr>
              <w:keepNext/>
              <w:jc w:val="center"/>
              <w:rPr>
                <w:rFonts w:cs="Calibri"/>
                <w:b/>
                <w:bCs/>
                <w:color w:val="FFFFFF"/>
                <w:sz w:val="22"/>
                <w:szCs w:val="22"/>
              </w:rPr>
            </w:pPr>
            <w:r w:rsidRPr="00CE722A">
              <w:rPr>
                <w:rFonts w:cs="Calibri"/>
                <w:b/>
                <w:bCs/>
                <w:color w:val="FFFFFF"/>
                <w:sz w:val="22"/>
                <w:szCs w:val="22"/>
              </w:rPr>
              <w:t>Ave. Peak Temp.</w:t>
            </w:r>
          </w:p>
        </w:tc>
      </w:tr>
      <w:tr w:rsidR="00CE722A" w:rsidRPr="00CE722A" w14:paraId="3C342EB1" w14:textId="77777777" w:rsidTr="00347C60">
        <w:trPr>
          <w:trHeight w:val="20"/>
          <w:jc w:val="center"/>
        </w:trPr>
        <w:tc>
          <w:tcPr>
            <w:tcW w:w="1200" w:type="dxa"/>
            <w:tcBorders>
              <w:top w:val="nil"/>
              <w:left w:val="single" w:sz="4" w:space="0" w:color="auto"/>
              <w:bottom w:val="single" w:sz="4" w:space="0" w:color="auto"/>
              <w:right w:val="nil"/>
            </w:tcBorders>
            <w:shd w:val="clear" w:color="000000" w:fill="FFFFFF"/>
            <w:noWrap/>
            <w:vAlign w:val="bottom"/>
            <w:hideMark/>
          </w:tcPr>
          <w:p w14:paraId="465732B8" w14:textId="77777777" w:rsidR="00CE722A" w:rsidRPr="00CE722A" w:rsidRDefault="00CE722A" w:rsidP="00CE722A">
            <w:pPr>
              <w:keepNext/>
              <w:ind w:firstLineChars="100" w:firstLine="220"/>
              <w:jc w:val="right"/>
              <w:rPr>
                <w:rFonts w:cs="Calibri"/>
                <w:sz w:val="22"/>
                <w:szCs w:val="22"/>
              </w:rPr>
            </w:pPr>
            <w:r w:rsidRPr="00CE722A">
              <w:rPr>
                <w:rFonts w:cs="Calibri"/>
                <w:sz w:val="22"/>
                <w:szCs w:val="22"/>
              </w:rPr>
              <w:t>Oct-16</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1A419D47" w14:textId="77777777" w:rsidR="00CE722A" w:rsidRPr="00CE722A" w:rsidRDefault="00CE722A" w:rsidP="00CE722A">
            <w:pPr>
              <w:keepNext/>
              <w:jc w:val="center"/>
              <w:rPr>
                <w:rFonts w:cs="Calibri"/>
                <w:sz w:val="22"/>
                <w:szCs w:val="22"/>
              </w:rPr>
            </w:pPr>
            <w:r w:rsidRPr="00CE722A">
              <w:rPr>
                <w:rFonts w:cs="Calibri"/>
                <w:sz w:val="22"/>
                <w:szCs w:val="22"/>
              </w:rPr>
              <w:t>All</w:t>
            </w:r>
          </w:p>
        </w:tc>
        <w:tc>
          <w:tcPr>
            <w:tcW w:w="960" w:type="dxa"/>
            <w:tcBorders>
              <w:top w:val="nil"/>
              <w:left w:val="nil"/>
              <w:bottom w:val="single" w:sz="4" w:space="0" w:color="auto"/>
              <w:right w:val="nil"/>
            </w:tcBorders>
            <w:shd w:val="clear" w:color="000000" w:fill="FFFFFF"/>
            <w:noWrap/>
            <w:vAlign w:val="bottom"/>
            <w:hideMark/>
          </w:tcPr>
          <w:p w14:paraId="623B7DDD"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2,724</w:t>
            </w:r>
          </w:p>
        </w:tc>
        <w:tc>
          <w:tcPr>
            <w:tcW w:w="960" w:type="dxa"/>
            <w:tcBorders>
              <w:top w:val="single" w:sz="4" w:space="0" w:color="auto"/>
              <w:left w:val="single" w:sz="4" w:space="0" w:color="auto"/>
              <w:bottom w:val="single" w:sz="4" w:space="0" w:color="auto"/>
              <w:right w:val="nil"/>
            </w:tcBorders>
            <w:shd w:val="clear" w:color="000000" w:fill="FFFFFF"/>
            <w:noWrap/>
            <w:vAlign w:val="bottom"/>
            <w:hideMark/>
          </w:tcPr>
          <w:p w14:paraId="1F5875A8"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1.80</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14:paraId="1FA676DD"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0.00</w:t>
            </w:r>
          </w:p>
        </w:tc>
        <w:tc>
          <w:tcPr>
            <w:tcW w:w="960" w:type="dxa"/>
            <w:tcBorders>
              <w:top w:val="single" w:sz="4" w:space="0" w:color="auto"/>
              <w:left w:val="nil"/>
              <w:bottom w:val="single" w:sz="4" w:space="0" w:color="auto"/>
              <w:right w:val="nil"/>
            </w:tcBorders>
            <w:shd w:val="clear" w:color="000000" w:fill="FFFFFF"/>
            <w:noWrap/>
            <w:vAlign w:val="bottom"/>
            <w:hideMark/>
          </w:tcPr>
          <w:p w14:paraId="502AC50A"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0.66</w:t>
            </w:r>
          </w:p>
        </w:tc>
        <w:tc>
          <w:tcPr>
            <w:tcW w:w="960" w:type="dxa"/>
            <w:tcBorders>
              <w:top w:val="single" w:sz="4" w:space="0" w:color="auto"/>
              <w:left w:val="nil"/>
              <w:bottom w:val="single" w:sz="4" w:space="0" w:color="auto"/>
              <w:right w:val="nil"/>
            </w:tcBorders>
            <w:shd w:val="clear" w:color="000000" w:fill="FFFFFF"/>
            <w:noWrap/>
            <w:vAlign w:val="bottom"/>
            <w:hideMark/>
          </w:tcPr>
          <w:p w14:paraId="13D5F8C9"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0.00</w:t>
            </w:r>
          </w:p>
        </w:tc>
        <w:tc>
          <w:tcPr>
            <w:tcW w:w="9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12B5FCEE" w14:textId="77777777" w:rsidR="00CE722A" w:rsidRPr="00CE722A" w:rsidRDefault="00CE722A" w:rsidP="00CE722A">
            <w:pPr>
              <w:keepNext/>
              <w:jc w:val="center"/>
              <w:rPr>
                <w:rFonts w:cs="Calibri"/>
                <w:sz w:val="22"/>
                <w:szCs w:val="22"/>
              </w:rPr>
            </w:pPr>
            <w:r w:rsidRPr="00CE722A">
              <w:rPr>
                <w:rFonts w:cs="Calibri"/>
                <w:sz w:val="22"/>
                <w:szCs w:val="22"/>
              </w:rPr>
              <w:t>-0.1%</w:t>
            </w:r>
          </w:p>
        </w:tc>
        <w:tc>
          <w:tcPr>
            <w:tcW w:w="960" w:type="dxa"/>
            <w:tcBorders>
              <w:top w:val="nil"/>
              <w:left w:val="nil"/>
              <w:bottom w:val="single" w:sz="4" w:space="0" w:color="auto"/>
              <w:right w:val="single" w:sz="4" w:space="0" w:color="auto"/>
            </w:tcBorders>
            <w:shd w:val="clear" w:color="000000" w:fill="FFFFFF"/>
            <w:noWrap/>
            <w:vAlign w:val="bottom"/>
            <w:hideMark/>
          </w:tcPr>
          <w:p w14:paraId="6AB4FBFE" w14:textId="77777777" w:rsidR="00CE722A" w:rsidRPr="00CE722A" w:rsidRDefault="00CE722A" w:rsidP="00CE722A">
            <w:pPr>
              <w:keepNext/>
              <w:jc w:val="center"/>
              <w:rPr>
                <w:rFonts w:cs="Calibri"/>
                <w:sz w:val="22"/>
                <w:szCs w:val="22"/>
              </w:rPr>
            </w:pPr>
            <w:r w:rsidRPr="00CE722A">
              <w:rPr>
                <w:rFonts w:cs="Calibri"/>
                <w:sz w:val="22"/>
                <w:szCs w:val="22"/>
              </w:rPr>
              <w:t>76</w:t>
            </w:r>
          </w:p>
        </w:tc>
      </w:tr>
      <w:tr w:rsidR="00CE722A" w:rsidRPr="00CE722A" w14:paraId="09F52F7E" w14:textId="77777777" w:rsidTr="00347C60">
        <w:trPr>
          <w:trHeight w:val="20"/>
          <w:jc w:val="center"/>
        </w:trPr>
        <w:tc>
          <w:tcPr>
            <w:tcW w:w="1200" w:type="dxa"/>
            <w:tcBorders>
              <w:top w:val="nil"/>
              <w:left w:val="single" w:sz="4" w:space="0" w:color="auto"/>
              <w:bottom w:val="nil"/>
              <w:right w:val="nil"/>
            </w:tcBorders>
            <w:shd w:val="clear" w:color="000000" w:fill="D9E1F2"/>
            <w:noWrap/>
            <w:vAlign w:val="bottom"/>
            <w:hideMark/>
          </w:tcPr>
          <w:p w14:paraId="38F019F6" w14:textId="77777777" w:rsidR="00CE722A" w:rsidRPr="00CE722A" w:rsidRDefault="00CE722A" w:rsidP="00CE722A">
            <w:pPr>
              <w:keepNext/>
              <w:ind w:firstLineChars="100" w:firstLine="220"/>
              <w:jc w:val="right"/>
              <w:rPr>
                <w:rFonts w:cs="Calibri"/>
                <w:sz w:val="22"/>
                <w:szCs w:val="22"/>
              </w:rPr>
            </w:pPr>
            <w:r w:rsidRPr="00CE722A">
              <w:rPr>
                <w:rFonts w:cs="Calibri"/>
                <w:sz w:val="22"/>
                <w:szCs w:val="22"/>
              </w:rPr>
              <w:t>Nov-16</w:t>
            </w:r>
          </w:p>
        </w:tc>
        <w:tc>
          <w:tcPr>
            <w:tcW w:w="960" w:type="dxa"/>
            <w:tcBorders>
              <w:top w:val="nil"/>
              <w:left w:val="single" w:sz="4" w:space="0" w:color="auto"/>
              <w:bottom w:val="nil"/>
              <w:right w:val="single" w:sz="4" w:space="0" w:color="auto"/>
            </w:tcBorders>
            <w:shd w:val="clear" w:color="000000" w:fill="D9E1F2"/>
            <w:noWrap/>
            <w:vAlign w:val="bottom"/>
            <w:hideMark/>
          </w:tcPr>
          <w:p w14:paraId="6E20CE27" w14:textId="77777777" w:rsidR="00CE722A" w:rsidRPr="00CE722A" w:rsidRDefault="00CE722A" w:rsidP="00CE722A">
            <w:pPr>
              <w:keepNext/>
              <w:jc w:val="center"/>
              <w:rPr>
                <w:rFonts w:cs="Calibri"/>
                <w:sz w:val="22"/>
                <w:szCs w:val="22"/>
              </w:rPr>
            </w:pPr>
            <w:r w:rsidRPr="00CE722A">
              <w:rPr>
                <w:rFonts w:cs="Calibri"/>
                <w:sz w:val="22"/>
                <w:szCs w:val="22"/>
              </w:rPr>
              <w:t>All</w:t>
            </w:r>
          </w:p>
        </w:tc>
        <w:tc>
          <w:tcPr>
            <w:tcW w:w="960" w:type="dxa"/>
            <w:tcBorders>
              <w:top w:val="nil"/>
              <w:left w:val="nil"/>
              <w:bottom w:val="nil"/>
              <w:right w:val="nil"/>
            </w:tcBorders>
            <w:shd w:val="clear" w:color="000000" w:fill="D9E1F2"/>
            <w:noWrap/>
            <w:vAlign w:val="bottom"/>
            <w:hideMark/>
          </w:tcPr>
          <w:p w14:paraId="7B919B8F"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2,917</w:t>
            </w:r>
          </w:p>
        </w:tc>
        <w:tc>
          <w:tcPr>
            <w:tcW w:w="960" w:type="dxa"/>
            <w:tcBorders>
              <w:top w:val="nil"/>
              <w:left w:val="single" w:sz="4" w:space="0" w:color="auto"/>
              <w:bottom w:val="nil"/>
              <w:right w:val="nil"/>
            </w:tcBorders>
            <w:shd w:val="clear" w:color="000000" w:fill="D9E1F2"/>
            <w:noWrap/>
            <w:vAlign w:val="bottom"/>
            <w:hideMark/>
          </w:tcPr>
          <w:p w14:paraId="1C09C4A6"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2.82</w:t>
            </w:r>
          </w:p>
        </w:tc>
        <w:tc>
          <w:tcPr>
            <w:tcW w:w="960" w:type="dxa"/>
            <w:tcBorders>
              <w:top w:val="nil"/>
              <w:left w:val="nil"/>
              <w:bottom w:val="nil"/>
              <w:right w:val="single" w:sz="4" w:space="0" w:color="auto"/>
            </w:tcBorders>
            <w:shd w:val="clear" w:color="000000" w:fill="D9E1F2"/>
            <w:noWrap/>
            <w:vAlign w:val="bottom"/>
            <w:hideMark/>
          </w:tcPr>
          <w:p w14:paraId="3DC9C5FC"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-0.02</w:t>
            </w:r>
          </w:p>
        </w:tc>
        <w:tc>
          <w:tcPr>
            <w:tcW w:w="960" w:type="dxa"/>
            <w:tcBorders>
              <w:top w:val="nil"/>
              <w:left w:val="nil"/>
              <w:bottom w:val="nil"/>
              <w:right w:val="nil"/>
            </w:tcBorders>
            <w:shd w:val="clear" w:color="000000" w:fill="D9E1F2"/>
            <w:noWrap/>
            <w:vAlign w:val="bottom"/>
            <w:hideMark/>
          </w:tcPr>
          <w:p w14:paraId="00BD1870"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0.97</w:t>
            </w:r>
          </w:p>
        </w:tc>
        <w:tc>
          <w:tcPr>
            <w:tcW w:w="960" w:type="dxa"/>
            <w:tcBorders>
              <w:top w:val="nil"/>
              <w:left w:val="nil"/>
              <w:bottom w:val="nil"/>
              <w:right w:val="nil"/>
            </w:tcBorders>
            <w:shd w:val="clear" w:color="000000" w:fill="D9E1F2"/>
            <w:noWrap/>
            <w:vAlign w:val="bottom"/>
            <w:hideMark/>
          </w:tcPr>
          <w:p w14:paraId="715F2387"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-0.01</w:t>
            </w:r>
          </w:p>
        </w:tc>
        <w:tc>
          <w:tcPr>
            <w:tcW w:w="960" w:type="dxa"/>
            <w:tcBorders>
              <w:top w:val="nil"/>
              <w:left w:val="single" w:sz="4" w:space="0" w:color="auto"/>
              <w:bottom w:val="nil"/>
              <w:right w:val="single" w:sz="4" w:space="0" w:color="auto"/>
            </w:tcBorders>
            <w:shd w:val="clear" w:color="000000" w:fill="D9E1F2"/>
            <w:noWrap/>
            <w:vAlign w:val="bottom"/>
            <w:hideMark/>
          </w:tcPr>
          <w:p w14:paraId="69E2DDA4" w14:textId="77777777" w:rsidR="00CE722A" w:rsidRPr="00CE722A" w:rsidRDefault="00CE722A" w:rsidP="00CE722A">
            <w:pPr>
              <w:keepNext/>
              <w:jc w:val="center"/>
              <w:rPr>
                <w:rFonts w:cs="Calibri"/>
                <w:sz w:val="22"/>
                <w:szCs w:val="22"/>
              </w:rPr>
            </w:pPr>
            <w:r w:rsidRPr="00CE722A">
              <w:rPr>
                <w:rFonts w:cs="Calibri"/>
                <w:sz w:val="22"/>
                <w:szCs w:val="22"/>
              </w:rPr>
              <w:t>-0.7%</w:t>
            </w:r>
          </w:p>
        </w:tc>
        <w:tc>
          <w:tcPr>
            <w:tcW w:w="960" w:type="dxa"/>
            <w:tcBorders>
              <w:top w:val="nil"/>
              <w:left w:val="nil"/>
              <w:bottom w:val="nil"/>
              <w:right w:val="single" w:sz="4" w:space="0" w:color="auto"/>
            </w:tcBorders>
            <w:shd w:val="clear" w:color="000000" w:fill="D9E1F2"/>
            <w:noWrap/>
            <w:vAlign w:val="bottom"/>
            <w:hideMark/>
          </w:tcPr>
          <w:p w14:paraId="3F5DBBAA" w14:textId="77777777" w:rsidR="00CE722A" w:rsidRPr="00CE722A" w:rsidRDefault="00CE722A" w:rsidP="00CE722A">
            <w:pPr>
              <w:keepNext/>
              <w:jc w:val="center"/>
              <w:rPr>
                <w:rFonts w:cs="Calibri"/>
                <w:sz w:val="22"/>
                <w:szCs w:val="22"/>
              </w:rPr>
            </w:pPr>
            <w:r w:rsidRPr="00CE722A">
              <w:rPr>
                <w:rFonts w:cs="Calibri"/>
                <w:sz w:val="22"/>
                <w:szCs w:val="22"/>
              </w:rPr>
              <w:t>65</w:t>
            </w:r>
          </w:p>
        </w:tc>
      </w:tr>
      <w:tr w:rsidR="00CE722A" w:rsidRPr="00CE722A" w14:paraId="1E252E07" w14:textId="77777777" w:rsidTr="00347C60">
        <w:trPr>
          <w:trHeight w:val="20"/>
          <w:jc w:val="center"/>
        </w:trPr>
        <w:tc>
          <w:tcPr>
            <w:tcW w:w="1200" w:type="dxa"/>
            <w:tcBorders>
              <w:top w:val="nil"/>
              <w:left w:val="single" w:sz="4" w:space="0" w:color="auto"/>
              <w:bottom w:val="nil"/>
              <w:right w:val="nil"/>
            </w:tcBorders>
            <w:shd w:val="clear" w:color="000000" w:fill="D9E1F2"/>
            <w:noWrap/>
            <w:vAlign w:val="bottom"/>
            <w:hideMark/>
          </w:tcPr>
          <w:p w14:paraId="1E2BBA3C" w14:textId="77777777" w:rsidR="00CE722A" w:rsidRPr="00CE722A" w:rsidRDefault="00CE722A" w:rsidP="00CE722A">
            <w:pPr>
              <w:keepNext/>
              <w:ind w:firstLineChars="100" w:firstLine="220"/>
              <w:jc w:val="right"/>
              <w:rPr>
                <w:rFonts w:cs="Calibri"/>
                <w:sz w:val="22"/>
                <w:szCs w:val="22"/>
              </w:rPr>
            </w:pPr>
            <w:r w:rsidRPr="00CE722A">
              <w:rPr>
                <w:rFonts w:cs="Calibri"/>
                <w:sz w:val="22"/>
                <w:szCs w:val="22"/>
              </w:rPr>
              <w:t>Dec-16</w:t>
            </w:r>
          </w:p>
        </w:tc>
        <w:tc>
          <w:tcPr>
            <w:tcW w:w="960" w:type="dxa"/>
            <w:tcBorders>
              <w:top w:val="nil"/>
              <w:left w:val="single" w:sz="4" w:space="0" w:color="auto"/>
              <w:bottom w:val="nil"/>
              <w:right w:val="single" w:sz="4" w:space="0" w:color="auto"/>
            </w:tcBorders>
            <w:shd w:val="clear" w:color="000000" w:fill="D9E1F2"/>
            <w:noWrap/>
            <w:vAlign w:val="bottom"/>
            <w:hideMark/>
          </w:tcPr>
          <w:p w14:paraId="0E9451E3" w14:textId="77777777" w:rsidR="00CE722A" w:rsidRPr="00CE722A" w:rsidRDefault="00CE722A" w:rsidP="00CE722A">
            <w:pPr>
              <w:keepNext/>
              <w:jc w:val="center"/>
              <w:rPr>
                <w:rFonts w:cs="Calibri"/>
                <w:sz w:val="22"/>
                <w:szCs w:val="22"/>
              </w:rPr>
            </w:pPr>
            <w:r w:rsidRPr="00CE722A">
              <w:rPr>
                <w:rFonts w:cs="Calibri"/>
                <w:sz w:val="22"/>
                <w:szCs w:val="22"/>
              </w:rPr>
              <w:t>All</w:t>
            </w:r>
          </w:p>
        </w:tc>
        <w:tc>
          <w:tcPr>
            <w:tcW w:w="960" w:type="dxa"/>
            <w:tcBorders>
              <w:top w:val="nil"/>
              <w:left w:val="nil"/>
              <w:bottom w:val="nil"/>
              <w:right w:val="single" w:sz="4" w:space="0" w:color="auto"/>
            </w:tcBorders>
            <w:shd w:val="clear" w:color="000000" w:fill="D9E1F2"/>
            <w:noWrap/>
            <w:vAlign w:val="bottom"/>
            <w:hideMark/>
          </w:tcPr>
          <w:p w14:paraId="6B162CE1"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3,053</w:t>
            </w:r>
          </w:p>
        </w:tc>
        <w:tc>
          <w:tcPr>
            <w:tcW w:w="960" w:type="dxa"/>
            <w:tcBorders>
              <w:top w:val="nil"/>
              <w:left w:val="nil"/>
              <w:bottom w:val="nil"/>
              <w:right w:val="nil"/>
            </w:tcBorders>
            <w:shd w:val="clear" w:color="000000" w:fill="D9E1F2"/>
            <w:noWrap/>
            <w:vAlign w:val="bottom"/>
            <w:hideMark/>
          </w:tcPr>
          <w:p w14:paraId="4CC4B583"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3.29</w:t>
            </w:r>
          </w:p>
        </w:tc>
        <w:tc>
          <w:tcPr>
            <w:tcW w:w="960" w:type="dxa"/>
            <w:tcBorders>
              <w:top w:val="nil"/>
              <w:left w:val="nil"/>
              <w:bottom w:val="nil"/>
              <w:right w:val="single" w:sz="4" w:space="0" w:color="auto"/>
            </w:tcBorders>
            <w:shd w:val="clear" w:color="000000" w:fill="D9E1F2"/>
            <w:noWrap/>
            <w:vAlign w:val="bottom"/>
            <w:hideMark/>
          </w:tcPr>
          <w:p w14:paraId="31745382"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0.11</w:t>
            </w:r>
          </w:p>
        </w:tc>
        <w:tc>
          <w:tcPr>
            <w:tcW w:w="960" w:type="dxa"/>
            <w:tcBorders>
              <w:top w:val="nil"/>
              <w:left w:val="nil"/>
              <w:bottom w:val="nil"/>
              <w:right w:val="nil"/>
            </w:tcBorders>
            <w:shd w:val="clear" w:color="000000" w:fill="D9E1F2"/>
            <w:noWrap/>
            <w:vAlign w:val="bottom"/>
            <w:hideMark/>
          </w:tcPr>
          <w:p w14:paraId="56B471CD"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1.08</w:t>
            </w:r>
          </w:p>
        </w:tc>
        <w:tc>
          <w:tcPr>
            <w:tcW w:w="960" w:type="dxa"/>
            <w:tcBorders>
              <w:top w:val="nil"/>
              <w:left w:val="nil"/>
              <w:bottom w:val="nil"/>
              <w:right w:val="nil"/>
            </w:tcBorders>
            <w:shd w:val="clear" w:color="000000" w:fill="D9E1F2"/>
            <w:noWrap/>
            <w:vAlign w:val="bottom"/>
            <w:hideMark/>
          </w:tcPr>
          <w:p w14:paraId="637E9B90"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0.04</w:t>
            </w:r>
          </w:p>
        </w:tc>
        <w:tc>
          <w:tcPr>
            <w:tcW w:w="960" w:type="dxa"/>
            <w:tcBorders>
              <w:top w:val="nil"/>
              <w:left w:val="single" w:sz="4" w:space="0" w:color="auto"/>
              <w:bottom w:val="nil"/>
              <w:right w:val="single" w:sz="4" w:space="0" w:color="auto"/>
            </w:tcBorders>
            <w:shd w:val="clear" w:color="000000" w:fill="D9E1F2"/>
            <w:noWrap/>
            <w:vAlign w:val="bottom"/>
            <w:hideMark/>
          </w:tcPr>
          <w:p w14:paraId="0B22D834" w14:textId="77777777" w:rsidR="00CE722A" w:rsidRPr="00CE722A" w:rsidRDefault="00CE722A" w:rsidP="00CE722A">
            <w:pPr>
              <w:keepNext/>
              <w:jc w:val="center"/>
              <w:rPr>
                <w:rFonts w:cs="Calibri"/>
                <w:sz w:val="22"/>
                <w:szCs w:val="22"/>
              </w:rPr>
            </w:pPr>
            <w:r w:rsidRPr="00CE722A">
              <w:rPr>
                <w:rFonts w:cs="Calibri"/>
                <w:sz w:val="22"/>
                <w:szCs w:val="22"/>
              </w:rPr>
              <w:t>3.3%</w:t>
            </w:r>
          </w:p>
        </w:tc>
        <w:tc>
          <w:tcPr>
            <w:tcW w:w="960" w:type="dxa"/>
            <w:tcBorders>
              <w:top w:val="nil"/>
              <w:left w:val="nil"/>
              <w:bottom w:val="nil"/>
              <w:right w:val="single" w:sz="4" w:space="0" w:color="auto"/>
            </w:tcBorders>
            <w:shd w:val="clear" w:color="000000" w:fill="D9E1F2"/>
            <w:noWrap/>
            <w:vAlign w:val="bottom"/>
            <w:hideMark/>
          </w:tcPr>
          <w:p w14:paraId="52CD0427" w14:textId="77777777" w:rsidR="00CE722A" w:rsidRPr="00CE722A" w:rsidRDefault="00CE722A" w:rsidP="00CE722A">
            <w:pPr>
              <w:keepNext/>
              <w:jc w:val="center"/>
              <w:rPr>
                <w:rFonts w:cs="Calibri"/>
                <w:sz w:val="22"/>
                <w:szCs w:val="22"/>
              </w:rPr>
            </w:pPr>
            <w:r w:rsidRPr="00CE722A">
              <w:rPr>
                <w:rFonts w:cs="Calibri"/>
                <w:sz w:val="22"/>
                <w:szCs w:val="22"/>
              </w:rPr>
              <w:t>59</w:t>
            </w:r>
          </w:p>
        </w:tc>
      </w:tr>
      <w:tr w:rsidR="00CE722A" w:rsidRPr="00CE722A" w14:paraId="5D2133C4" w14:textId="77777777" w:rsidTr="00347C60">
        <w:trPr>
          <w:trHeight w:val="20"/>
          <w:jc w:val="center"/>
        </w:trPr>
        <w:tc>
          <w:tcPr>
            <w:tcW w:w="1200" w:type="dxa"/>
            <w:tcBorders>
              <w:top w:val="nil"/>
              <w:left w:val="single" w:sz="4" w:space="0" w:color="auto"/>
              <w:bottom w:val="nil"/>
              <w:right w:val="nil"/>
            </w:tcBorders>
            <w:shd w:val="clear" w:color="000000" w:fill="D9E1F2"/>
            <w:noWrap/>
            <w:vAlign w:val="bottom"/>
            <w:hideMark/>
          </w:tcPr>
          <w:p w14:paraId="13637E90" w14:textId="77777777" w:rsidR="00CE722A" w:rsidRPr="00CE722A" w:rsidRDefault="00CE722A" w:rsidP="00CE722A">
            <w:pPr>
              <w:keepNext/>
              <w:ind w:firstLineChars="100" w:firstLine="220"/>
              <w:jc w:val="right"/>
              <w:rPr>
                <w:rFonts w:cs="Calibri"/>
                <w:sz w:val="22"/>
                <w:szCs w:val="22"/>
              </w:rPr>
            </w:pPr>
            <w:r w:rsidRPr="00CE722A">
              <w:rPr>
                <w:rFonts w:cs="Calibri"/>
                <w:sz w:val="22"/>
                <w:szCs w:val="22"/>
              </w:rPr>
              <w:t>Jan-17</w:t>
            </w:r>
          </w:p>
        </w:tc>
        <w:tc>
          <w:tcPr>
            <w:tcW w:w="960" w:type="dxa"/>
            <w:tcBorders>
              <w:top w:val="nil"/>
              <w:left w:val="single" w:sz="4" w:space="0" w:color="auto"/>
              <w:bottom w:val="nil"/>
              <w:right w:val="single" w:sz="4" w:space="0" w:color="auto"/>
            </w:tcBorders>
            <w:shd w:val="clear" w:color="000000" w:fill="D9E1F2"/>
            <w:noWrap/>
            <w:vAlign w:val="bottom"/>
            <w:hideMark/>
          </w:tcPr>
          <w:p w14:paraId="6AFB20BE" w14:textId="77777777" w:rsidR="00CE722A" w:rsidRPr="00CE722A" w:rsidRDefault="00CE722A" w:rsidP="00CE722A">
            <w:pPr>
              <w:keepNext/>
              <w:jc w:val="center"/>
              <w:rPr>
                <w:rFonts w:cs="Calibri"/>
                <w:sz w:val="22"/>
                <w:szCs w:val="22"/>
              </w:rPr>
            </w:pPr>
            <w:r w:rsidRPr="00CE722A">
              <w:rPr>
                <w:rFonts w:cs="Calibri"/>
                <w:sz w:val="22"/>
                <w:szCs w:val="22"/>
              </w:rPr>
              <w:t>All</w:t>
            </w:r>
          </w:p>
        </w:tc>
        <w:tc>
          <w:tcPr>
            <w:tcW w:w="960" w:type="dxa"/>
            <w:tcBorders>
              <w:top w:val="nil"/>
              <w:left w:val="nil"/>
              <w:bottom w:val="nil"/>
              <w:right w:val="nil"/>
            </w:tcBorders>
            <w:shd w:val="clear" w:color="000000" w:fill="D9E1F2"/>
            <w:noWrap/>
            <w:vAlign w:val="bottom"/>
            <w:hideMark/>
          </w:tcPr>
          <w:p w14:paraId="3F240F56"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3,251</w:t>
            </w:r>
          </w:p>
        </w:tc>
        <w:tc>
          <w:tcPr>
            <w:tcW w:w="960" w:type="dxa"/>
            <w:tcBorders>
              <w:top w:val="nil"/>
              <w:left w:val="single" w:sz="4" w:space="0" w:color="auto"/>
              <w:bottom w:val="nil"/>
              <w:right w:val="nil"/>
            </w:tcBorders>
            <w:shd w:val="clear" w:color="000000" w:fill="D9E1F2"/>
            <w:noWrap/>
            <w:vAlign w:val="bottom"/>
            <w:hideMark/>
          </w:tcPr>
          <w:p w14:paraId="656D28E3"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3.37</w:t>
            </w:r>
          </w:p>
        </w:tc>
        <w:tc>
          <w:tcPr>
            <w:tcW w:w="960" w:type="dxa"/>
            <w:tcBorders>
              <w:top w:val="nil"/>
              <w:left w:val="nil"/>
              <w:bottom w:val="nil"/>
              <w:right w:val="single" w:sz="4" w:space="0" w:color="auto"/>
            </w:tcBorders>
            <w:shd w:val="clear" w:color="000000" w:fill="D9E1F2"/>
            <w:noWrap/>
            <w:vAlign w:val="bottom"/>
            <w:hideMark/>
          </w:tcPr>
          <w:p w14:paraId="27C673B8"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0.08</w:t>
            </w:r>
          </w:p>
        </w:tc>
        <w:tc>
          <w:tcPr>
            <w:tcW w:w="960" w:type="dxa"/>
            <w:tcBorders>
              <w:top w:val="nil"/>
              <w:left w:val="nil"/>
              <w:bottom w:val="nil"/>
              <w:right w:val="nil"/>
            </w:tcBorders>
            <w:shd w:val="clear" w:color="000000" w:fill="D9E1F2"/>
            <w:noWrap/>
            <w:vAlign w:val="bottom"/>
            <w:hideMark/>
          </w:tcPr>
          <w:p w14:paraId="035218DD"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1.04</w:t>
            </w:r>
          </w:p>
        </w:tc>
        <w:tc>
          <w:tcPr>
            <w:tcW w:w="960" w:type="dxa"/>
            <w:tcBorders>
              <w:top w:val="nil"/>
              <w:left w:val="nil"/>
              <w:bottom w:val="nil"/>
              <w:right w:val="nil"/>
            </w:tcBorders>
            <w:shd w:val="clear" w:color="000000" w:fill="D9E1F2"/>
            <w:noWrap/>
            <w:vAlign w:val="bottom"/>
            <w:hideMark/>
          </w:tcPr>
          <w:p w14:paraId="7F90808B"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0.03</w:t>
            </w:r>
          </w:p>
        </w:tc>
        <w:tc>
          <w:tcPr>
            <w:tcW w:w="960" w:type="dxa"/>
            <w:tcBorders>
              <w:top w:val="nil"/>
              <w:left w:val="single" w:sz="4" w:space="0" w:color="auto"/>
              <w:bottom w:val="nil"/>
              <w:right w:val="single" w:sz="4" w:space="0" w:color="auto"/>
            </w:tcBorders>
            <w:shd w:val="clear" w:color="000000" w:fill="D9E1F2"/>
            <w:noWrap/>
            <w:vAlign w:val="bottom"/>
            <w:hideMark/>
          </w:tcPr>
          <w:p w14:paraId="65A03F6B" w14:textId="77777777" w:rsidR="00CE722A" w:rsidRPr="00CE722A" w:rsidRDefault="00CE722A" w:rsidP="00CE722A">
            <w:pPr>
              <w:keepNext/>
              <w:jc w:val="center"/>
              <w:rPr>
                <w:rFonts w:cs="Calibri"/>
                <w:sz w:val="22"/>
                <w:szCs w:val="22"/>
              </w:rPr>
            </w:pPr>
            <w:r w:rsidRPr="00CE722A">
              <w:rPr>
                <w:rFonts w:cs="Calibri"/>
                <w:sz w:val="22"/>
                <w:szCs w:val="22"/>
              </w:rPr>
              <w:t>2.5%</w:t>
            </w:r>
          </w:p>
        </w:tc>
        <w:tc>
          <w:tcPr>
            <w:tcW w:w="960" w:type="dxa"/>
            <w:tcBorders>
              <w:top w:val="nil"/>
              <w:left w:val="nil"/>
              <w:bottom w:val="nil"/>
              <w:right w:val="single" w:sz="4" w:space="0" w:color="auto"/>
            </w:tcBorders>
            <w:shd w:val="clear" w:color="000000" w:fill="D9E1F2"/>
            <w:noWrap/>
            <w:vAlign w:val="bottom"/>
            <w:hideMark/>
          </w:tcPr>
          <w:p w14:paraId="4FADE46E" w14:textId="77777777" w:rsidR="00CE722A" w:rsidRPr="00CE722A" w:rsidRDefault="00CE722A" w:rsidP="00CE722A">
            <w:pPr>
              <w:keepNext/>
              <w:jc w:val="center"/>
              <w:rPr>
                <w:rFonts w:cs="Calibri"/>
                <w:sz w:val="22"/>
                <w:szCs w:val="22"/>
              </w:rPr>
            </w:pPr>
            <w:r w:rsidRPr="00CE722A">
              <w:rPr>
                <w:rFonts w:cs="Calibri"/>
                <w:sz w:val="22"/>
                <w:szCs w:val="22"/>
              </w:rPr>
              <w:t>56</w:t>
            </w:r>
          </w:p>
        </w:tc>
      </w:tr>
      <w:tr w:rsidR="00CE722A" w:rsidRPr="00CE722A" w14:paraId="7DD60152" w14:textId="77777777" w:rsidTr="00347C60">
        <w:trPr>
          <w:trHeight w:val="20"/>
          <w:jc w:val="center"/>
        </w:trPr>
        <w:tc>
          <w:tcPr>
            <w:tcW w:w="1200" w:type="dxa"/>
            <w:tcBorders>
              <w:top w:val="nil"/>
              <w:left w:val="single" w:sz="4" w:space="0" w:color="auto"/>
              <w:bottom w:val="nil"/>
              <w:right w:val="nil"/>
            </w:tcBorders>
            <w:shd w:val="clear" w:color="000000" w:fill="D9E1F2"/>
            <w:noWrap/>
            <w:vAlign w:val="bottom"/>
            <w:hideMark/>
          </w:tcPr>
          <w:p w14:paraId="5DCBBDF1" w14:textId="77777777" w:rsidR="00CE722A" w:rsidRPr="00CE722A" w:rsidRDefault="00CE722A" w:rsidP="00CE722A">
            <w:pPr>
              <w:keepNext/>
              <w:ind w:firstLineChars="100" w:firstLine="220"/>
              <w:jc w:val="right"/>
              <w:rPr>
                <w:rFonts w:cs="Calibri"/>
                <w:sz w:val="22"/>
                <w:szCs w:val="22"/>
              </w:rPr>
            </w:pPr>
            <w:r w:rsidRPr="00CE722A">
              <w:rPr>
                <w:rFonts w:cs="Calibri"/>
                <w:sz w:val="22"/>
                <w:szCs w:val="22"/>
              </w:rPr>
              <w:t>Feb-17</w:t>
            </w:r>
          </w:p>
        </w:tc>
        <w:tc>
          <w:tcPr>
            <w:tcW w:w="960" w:type="dxa"/>
            <w:tcBorders>
              <w:top w:val="nil"/>
              <w:left w:val="single" w:sz="4" w:space="0" w:color="auto"/>
              <w:bottom w:val="nil"/>
              <w:right w:val="single" w:sz="4" w:space="0" w:color="auto"/>
            </w:tcBorders>
            <w:shd w:val="clear" w:color="000000" w:fill="D9E1F2"/>
            <w:noWrap/>
            <w:vAlign w:val="bottom"/>
            <w:hideMark/>
          </w:tcPr>
          <w:p w14:paraId="6C42BB49" w14:textId="77777777" w:rsidR="00CE722A" w:rsidRPr="00CE722A" w:rsidRDefault="00CE722A" w:rsidP="00CE722A">
            <w:pPr>
              <w:keepNext/>
              <w:jc w:val="center"/>
              <w:rPr>
                <w:rFonts w:cs="Calibri"/>
                <w:sz w:val="22"/>
                <w:szCs w:val="22"/>
              </w:rPr>
            </w:pPr>
            <w:r w:rsidRPr="00CE722A">
              <w:rPr>
                <w:rFonts w:cs="Calibri"/>
                <w:sz w:val="22"/>
                <w:szCs w:val="22"/>
              </w:rPr>
              <w:t>All</w:t>
            </w:r>
          </w:p>
        </w:tc>
        <w:tc>
          <w:tcPr>
            <w:tcW w:w="960" w:type="dxa"/>
            <w:tcBorders>
              <w:top w:val="nil"/>
              <w:left w:val="nil"/>
              <w:bottom w:val="nil"/>
              <w:right w:val="nil"/>
            </w:tcBorders>
            <w:shd w:val="clear" w:color="000000" w:fill="D9E1F2"/>
            <w:noWrap/>
            <w:vAlign w:val="bottom"/>
            <w:hideMark/>
          </w:tcPr>
          <w:p w14:paraId="5717DF92"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3,466</w:t>
            </w:r>
          </w:p>
        </w:tc>
        <w:tc>
          <w:tcPr>
            <w:tcW w:w="960" w:type="dxa"/>
            <w:tcBorders>
              <w:top w:val="nil"/>
              <w:left w:val="single" w:sz="4" w:space="0" w:color="auto"/>
              <w:bottom w:val="nil"/>
              <w:right w:val="nil"/>
            </w:tcBorders>
            <w:shd w:val="clear" w:color="000000" w:fill="D9E1F2"/>
            <w:noWrap/>
            <w:vAlign w:val="bottom"/>
            <w:hideMark/>
          </w:tcPr>
          <w:p w14:paraId="49E8CE36"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3.30</w:t>
            </w:r>
          </w:p>
        </w:tc>
        <w:tc>
          <w:tcPr>
            <w:tcW w:w="960" w:type="dxa"/>
            <w:tcBorders>
              <w:top w:val="nil"/>
              <w:left w:val="nil"/>
              <w:bottom w:val="nil"/>
              <w:right w:val="single" w:sz="4" w:space="0" w:color="auto"/>
            </w:tcBorders>
            <w:shd w:val="clear" w:color="000000" w:fill="D9E1F2"/>
            <w:noWrap/>
            <w:vAlign w:val="bottom"/>
            <w:hideMark/>
          </w:tcPr>
          <w:p w14:paraId="033BD639"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0.17</w:t>
            </w:r>
          </w:p>
        </w:tc>
        <w:tc>
          <w:tcPr>
            <w:tcW w:w="960" w:type="dxa"/>
            <w:tcBorders>
              <w:top w:val="nil"/>
              <w:left w:val="nil"/>
              <w:bottom w:val="nil"/>
              <w:right w:val="nil"/>
            </w:tcBorders>
            <w:shd w:val="clear" w:color="000000" w:fill="D9E1F2"/>
            <w:noWrap/>
            <w:vAlign w:val="bottom"/>
            <w:hideMark/>
          </w:tcPr>
          <w:p w14:paraId="2995EBB3"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0.95</w:t>
            </w:r>
          </w:p>
        </w:tc>
        <w:tc>
          <w:tcPr>
            <w:tcW w:w="960" w:type="dxa"/>
            <w:tcBorders>
              <w:top w:val="nil"/>
              <w:left w:val="nil"/>
              <w:bottom w:val="nil"/>
              <w:right w:val="nil"/>
            </w:tcBorders>
            <w:shd w:val="clear" w:color="000000" w:fill="D9E1F2"/>
            <w:noWrap/>
            <w:vAlign w:val="bottom"/>
            <w:hideMark/>
          </w:tcPr>
          <w:p w14:paraId="77800532"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0.05</w:t>
            </w:r>
          </w:p>
        </w:tc>
        <w:tc>
          <w:tcPr>
            <w:tcW w:w="960" w:type="dxa"/>
            <w:tcBorders>
              <w:top w:val="nil"/>
              <w:left w:val="single" w:sz="4" w:space="0" w:color="auto"/>
              <w:bottom w:val="nil"/>
              <w:right w:val="single" w:sz="4" w:space="0" w:color="auto"/>
            </w:tcBorders>
            <w:shd w:val="clear" w:color="000000" w:fill="D9E1F2"/>
            <w:noWrap/>
            <w:vAlign w:val="bottom"/>
            <w:hideMark/>
          </w:tcPr>
          <w:p w14:paraId="055457D6" w14:textId="77777777" w:rsidR="00CE722A" w:rsidRPr="00CE722A" w:rsidRDefault="00CE722A" w:rsidP="00CE722A">
            <w:pPr>
              <w:keepNext/>
              <w:jc w:val="center"/>
              <w:rPr>
                <w:rFonts w:cs="Calibri"/>
                <w:sz w:val="22"/>
                <w:szCs w:val="22"/>
              </w:rPr>
            </w:pPr>
            <w:r w:rsidRPr="00CE722A">
              <w:rPr>
                <w:rFonts w:cs="Calibri"/>
                <w:sz w:val="22"/>
                <w:szCs w:val="22"/>
              </w:rPr>
              <w:t>5.2%</w:t>
            </w:r>
          </w:p>
        </w:tc>
        <w:tc>
          <w:tcPr>
            <w:tcW w:w="960" w:type="dxa"/>
            <w:tcBorders>
              <w:top w:val="nil"/>
              <w:left w:val="nil"/>
              <w:bottom w:val="nil"/>
              <w:right w:val="single" w:sz="4" w:space="0" w:color="auto"/>
            </w:tcBorders>
            <w:shd w:val="clear" w:color="000000" w:fill="D9E1F2"/>
            <w:noWrap/>
            <w:vAlign w:val="bottom"/>
            <w:hideMark/>
          </w:tcPr>
          <w:p w14:paraId="0FBA6C36" w14:textId="77777777" w:rsidR="00CE722A" w:rsidRPr="00CE722A" w:rsidRDefault="00CE722A" w:rsidP="00CE722A">
            <w:pPr>
              <w:keepNext/>
              <w:jc w:val="center"/>
              <w:rPr>
                <w:rFonts w:cs="Calibri"/>
                <w:sz w:val="22"/>
                <w:szCs w:val="22"/>
              </w:rPr>
            </w:pPr>
            <w:r w:rsidRPr="00CE722A">
              <w:rPr>
                <w:rFonts w:cs="Calibri"/>
                <w:sz w:val="22"/>
                <w:szCs w:val="22"/>
              </w:rPr>
              <w:t>59</w:t>
            </w:r>
          </w:p>
        </w:tc>
      </w:tr>
      <w:tr w:rsidR="00CE722A" w:rsidRPr="00CE722A" w14:paraId="16B95EEA" w14:textId="77777777" w:rsidTr="00347C60">
        <w:trPr>
          <w:trHeight w:val="20"/>
          <w:jc w:val="center"/>
        </w:trPr>
        <w:tc>
          <w:tcPr>
            <w:tcW w:w="1200" w:type="dxa"/>
            <w:tcBorders>
              <w:top w:val="nil"/>
              <w:left w:val="single" w:sz="4" w:space="0" w:color="auto"/>
              <w:bottom w:val="nil"/>
              <w:right w:val="nil"/>
            </w:tcBorders>
            <w:shd w:val="clear" w:color="000000" w:fill="D9E1F2"/>
            <w:noWrap/>
            <w:vAlign w:val="bottom"/>
            <w:hideMark/>
          </w:tcPr>
          <w:p w14:paraId="15FD9F5A" w14:textId="77777777" w:rsidR="00CE722A" w:rsidRPr="00CE722A" w:rsidRDefault="00CE722A" w:rsidP="00CE722A">
            <w:pPr>
              <w:keepNext/>
              <w:ind w:firstLineChars="100" w:firstLine="220"/>
              <w:jc w:val="right"/>
              <w:rPr>
                <w:rFonts w:cs="Calibri"/>
                <w:sz w:val="22"/>
                <w:szCs w:val="22"/>
              </w:rPr>
            </w:pPr>
            <w:r w:rsidRPr="00CE722A">
              <w:rPr>
                <w:rFonts w:cs="Calibri"/>
                <w:sz w:val="22"/>
                <w:szCs w:val="22"/>
              </w:rPr>
              <w:t>Mar-17</w:t>
            </w:r>
          </w:p>
        </w:tc>
        <w:tc>
          <w:tcPr>
            <w:tcW w:w="960" w:type="dxa"/>
            <w:tcBorders>
              <w:top w:val="nil"/>
              <w:left w:val="single" w:sz="4" w:space="0" w:color="auto"/>
              <w:bottom w:val="nil"/>
              <w:right w:val="single" w:sz="4" w:space="0" w:color="auto"/>
            </w:tcBorders>
            <w:shd w:val="clear" w:color="000000" w:fill="D9E1F2"/>
            <w:noWrap/>
            <w:vAlign w:val="bottom"/>
            <w:hideMark/>
          </w:tcPr>
          <w:p w14:paraId="3DD6FD36" w14:textId="77777777" w:rsidR="00CE722A" w:rsidRPr="00CE722A" w:rsidRDefault="00CE722A" w:rsidP="00CE722A">
            <w:pPr>
              <w:keepNext/>
              <w:jc w:val="center"/>
              <w:rPr>
                <w:rFonts w:cs="Calibri"/>
                <w:sz w:val="22"/>
                <w:szCs w:val="22"/>
              </w:rPr>
            </w:pPr>
            <w:r w:rsidRPr="00CE722A">
              <w:rPr>
                <w:rFonts w:cs="Calibri"/>
                <w:sz w:val="22"/>
                <w:szCs w:val="22"/>
              </w:rPr>
              <w:t>All</w:t>
            </w:r>
          </w:p>
        </w:tc>
        <w:tc>
          <w:tcPr>
            <w:tcW w:w="960" w:type="dxa"/>
            <w:tcBorders>
              <w:top w:val="nil"/>
              <w:left w:val="nil"/>
              <w:bottom w:val="nil"/>
              <w:right w:val="nil"/>
            </w:tcBorders>
            <w:shd w:val="clear" w:color="000000" w:fill="D9E1F2"/>
            <w:noWrap/>
            <w:vAlign w:val="bottom"/>
            <w:hideMark/>
          </w:tcPr>
          <w:p w14:paraId="7BBCDF53"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3,743</w:t>
            </w:r>
          </w:p>
        </w:tc>
        <w:tc>
          <w:tcPr>
            <w:tcW w:w="960" w:type="dxa"/>
            <w:tcBorders>
              <w:top w:val="nil"/>
              <w:left w:val="single" w:sz="4" w:space="0" w:color="auto"/>
              <w:bottom w:val="nil"/>
              <w:right w:val="nil"/>
            </w:tcBorders>
            <w:shd w:val="clear" w:color="000000" w:fill="D9E1F2"/>
            <w:noWrap/>
            <w:vAlign w:val="bottom"/>
            <w:hideMark/>
          </w:tcPr>
          <w:p w14:paraId="17D063C6"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3.10</w:t>
            </w:r>
          </w:p>
        </w:tc>
        <w:tc>
          <w:tcPr>
            <w:tcW w:w="960" w:type="dxa"/>
            <w:tcBorders>
              <w:top w:val="nil"/>
              <w:left w:val="nil"/>
              <w:bottom w:val="nil"/>
              <w:right w:val="single" w:sz="4" w:space="0" w:color="auto"/>
            </w:tcBorders>
            <w:shd w:val="clear" w:color="000000" w:fill="D9E1F2"/>
            <w:noWrap/>
            <w:vAlign w:val="bottom"/>
            <w:hideMark/>
          </w:tcPr>
          <w:p w14:paraId="309056B5"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0.10</w:t>
            </w:r>
          </w:p>
        </w:tc>
        <w:tc>
          <w:tcPr>
            <w:tcW w:w="960" w:type="dxa"/>
            <w:tcBorders>
              <w:top w:val="nil"/>
              <w:left w:val="nil"/>
              <w:bottom w:val="nil"/>
              <w:right w:val="nil"/>
            </w:tcBorders>
            <w:shd w:val="clear" w:color="000000" w:fill="D9E1F2"/>
            <w:noWrap/>
            <w:vAlign w:val="bottom"/>
            <w:hideMark/>
          </w:tcPr>
          <w:p w14:paraId="2C5B24F0"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0.83</w:t>
            </w:r>
          </w:p>
        </w:tc>
        <w:tc>
          <w:tcPr>
            <w:tcW w:w="960" w:type="dxa"/>
            <w:tcBorders>
              <w:top w:val="nil"/>
              <w:left w:val="nil"/>
              <w:bottom w:val="nil"/>
              <w:right w:val="nil"/>
            </w:tcBorders>
            <w:shd w:val="clear" w:color="000000" w:fill="D9E1F2"/>
            <w:noWrap/>
            <w:vAlign w:val="bottom"/>
            <w:hideMark/>
          </w:tcPr>
          <w:p w14:paraId="3FA4D418"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0.03</w:t>
            </w:r>
          </w:p>
        </w:tc>
        <w:tc>
          <w:tcPr>
            <w:tcW w:w="960" w:type="dxa"/>
            <w:tcBorders>
              <w:top w:val="nil"/>
              <w:left w:val="single" w:sz="4" w:space="0" w:color="auto"/>
              <w:bottom w:val="nil"/>
              <w:right w:val="single" w:sz="4" w:space="0" w:color="auto"/>
            </w:tcBorders>
            <w:shd w:val="clear" w:color="000000" w:fill="D9E1F2"/>
            <w:noWrap/>
            <w:vAlign w:val="bottom"/>
            <w:hideMark/>
          </w:tcPr>
          <w:p w14:paraId="31696C72" w14:textId="77777777" w:rsidR="00CE722A" w:rsidRPr="00CE722A" w:rsidRDefault="00CE722A" w:rsidP="00CE722A">
            <w:pPr>
              <w:keepNext/>
              <w:jc w:val="center"/>
              <w:rPr>
                <w:rFonts w:cs="Calibri"/>
                <w:sz w:val="22"/>
                <w:szCs w:val="22"/>
              </w:rPr>
            </w:pPr>
            <w:r w:rsidRPr="00CE722A">
              <w:rPr>
                <w:rFonts w:cs="Calibri"/>
                <w:sz w:val="22"/>
                <w:szCs w:val="22"/>
              </w:rPr>
              <w:t>3.2%</w:t>
            </w:r>
          </w:p>
        </w:tc>
        <w:tc>
          <w:tcPr>
            <w:tcW w:w="960" w:type="dxa"/>
            <w:tcBorders>
              <w:top w:val="nil"/>
              <w:left w:val="nil"/>
              <w:bottom w:val="nil"/>
              <w:right w:val="single" w:sz="4" w:space="0" w:color="auto"/>
            </w:tcBorders>
            <w:shd w:val="clear" w:color="000000" w:fill="D9E1F2"/>
            <w:noWrap/>
            <w:vAlign w:val="bottom"/>
            <w:hideMark/>
          </w:tcPr>
          <w:p w14:paraId="34720F15" w14:textId="77777777" w:rsidR="00CE722A" w:rsidRPr="00CE722A" w:rsidRDefault="00CE722A" w:rsidP="00CE722A">
            <w:pPr>
              <w:keepNext/>
              <w:jc w:val="center"/>
              <w:rPr>
                <w:rFonts w:cs="Calibri"/>
                <w:sz w:val="22"/>
                <w:szCs w:val="22"/>
              </w:rPr>
            </w:pPr>
            <w:r w:rsidRPr="00CE722A">
              <w:rPr>
                <w:rFonts w:cs="Calibri"/>
                <w:sz w:val="22"/>
                <w:szCs w:val="22"/>
              </w:rPr>
              <w:t>65</w:t>
            </w:r>
          </w:p>
        </w:tc>
      </w:tr>
      <w:tr w:rsidR="00CE722A" w:rsidRPr="00CE722A" w14:paraId="7E416773" w14:textId="77777777" w:rsidTr="00347C60">
        <w:trPr>
          <w:trHeight w:val="20"/>
          <w:jc w:val="center"/>
        </w:trPr>
        <w:tc>
          <w:tcPr>
            <w:tcW w:w="1200" w:type="dxa"/>
            <w:tcBorders>
              <w:top w:val="nil"/>
              <w:left w:val="single" w:sz="4" w:space="0" w:color="auto"/>
              <w:bottom w:val="single" w:sz="4" w:space="0" w:color="auto"/>
              <w:right w:val="nil"/>
            </w:tcBorders>
            <w:shd w:val="clear" w:color="000000" w:fill="D9E1F2"/>
            <w:noWrap/>
            <w:vAlign w:val="bottom"/>
            <w:hideMark/>
          </w:tcPr>
          <w:p w14:paraId="607AF905" w14:textId="77777777" w:rsidR="00CE722A" w:rsidRPr="00CE722A" w:rsidRDefault="00CE722A" w:rsidP="00CE722A">
            <w:pPr>
              <w:keepNext/>
              <w:ind w:firstLineChars="100" w:firstLine="220"/>
              <w:jc w:val="right"/>
              <w:rPr>
                <w:rFonts w:cs="Calibri"/>
                <w:sz w:val="22"/>
                <w:szCs w:val="22"/>
              </w:rPr>
            </w:pPr>
            <w:r w:rsidRPr="00CE722A">
              <w:rPr>
                <w:rFonts w:cs="Calibri"/>
                <w:sz w:val="22"/>
                <w:szCs w:val="22"/>
              </w:rPr>
              <w:t>Apr-17</w:t>
            </w:r>
          </w:p>
        </w:tc>
        <w:tc>
          <w:tcPr>
            <w:tcW w:w="960" w:type="dxa"/>
            <w:tcBorders>
              <w:top w:val="nil"/>
              <w:left w:val="single" w:sz="4" w:space="0" w:color="auto"/>
              <w:bottom w:val="single" w:sz="4" w:space="0" w:color="auto"/>
              <w:right w:val="single" w:sz="4" w:space="0" w:color="auto"/>
            </w:tcBorders>
            <w:shd w:val="clear" w:color="000000" w:fill="D9E1F2"/>
            <w:noWrap/>
            <w:vAlign w:val="bottom"/>
            <w:hideMark/>
          </w:tcPr>
          <w:p w14:paraId="68B00FA1" w14:textId="77777777" w:rsidR="00CE722A" w:rsidRPr="00CE722A" w:rsidRDefault="00CE722A" w:rsidP="00CE722A">
            <w:pPr>
              <w:keepNext/>
              <w:jc w:val="center"/>
              <w:rPr>
                <w:rFonts w:cs="Calibri"/>
                <w:sz w:val="22"/>
                <w:szCs w:val="22"/>
              </w:rPr>
            </w:pPr>
            <w:r w:rsidRPr="00CE722A">
              <w:rPr>
                <w:rFonts w:cs="Calibri"/>
                <w:sz w:val="22"/>
                <w:szCs w:val="22"/>
              </w:rPr>
              <w:t>All</w:t>
            </w:r>
          </w:p>
        </w:tc>
        <w:tc>
          <w:tcPr>
            <w:tcW w:w="960" w:type="dxa"/>
            <w:tcBorders>
              <w:top w:val="nil"/>
              <w:left w:val="nil"/>
              <w:bottom w:val="single" w:sz="4" w:space="0" w:color="auto"/>
              <w:right w:val="nil"/>
            </w:tcBorders>
            <w:shd w:val="clear" w:color="000000" w:fill="D9E1F2"/>
            <w:noWrap/>
            <w:vAlign w:val="bottom"/>
            <w:hideMark/>
          </w:tcPr>
          <w:p w14:paraId="45547306"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3,938</w:t>
            </w:r>
          </w:p>
        </w:tc>
        <w:tc>
          <w:tcPr>
            <w:tcW w:w="960" w:type="dxa"/>
            <w:tcBorders>
              <w:top w:val="nil"/>
              <w:left w:val="single" w:sz="4" w:space="0" w:color="auto"/>
              <w:bottom w:val="single" w:sz="4" w:space="0" w:color="auto"/>
              <w:right w:val="nil"/>
            </w:tcBorders>
            <w:shd w:val="clear" w:color="000000" w:fill="D9E1F2"/>
            <w:noWrap/>
            <w:vAlign w:val="bottom"/>
            <w:hideMark/>
          </w:tcPr>
          <w:p w14:paraId="53CD775C"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3.06</w:t>
            </w:r>
          </w:p>
        </w:tc>
        <w:tc>
          <w:tcPr>
            <w:tcW w:w="960" w:type="dxa"/>
            <w:tcBorders>
              <w:top w:val="nil"/>
              <w:left w:val="nil"/>
              <w:bottom w:val="single" w:sz="4" w:space="0" w:color="auto"/>
              <w:right w:val="single" w:sz="4" w:space="0" w:color="auto"/>
            </w:tcBorders>
            <w:shd w:val="clear" w:color="000000" w:fill="D9E1F2"/>
            <w:noWrap/>
            <w:vAlign w:val="bottom"/>
            <w:hideMark/>
          </w:tcPr>
          <w:p w14:paraId="0C68D785"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0.07</w:t>
            </w:r>
          </w:p>
        </w:tc>
        <w:tc>
          <w:tcPr>
            <w:tcW w:w="960" w:type="dxa"/>
            <w:tcBorders>
              <w:top w:val="nil"/>
              <w:left w:val="nil"/>
              <w:bottom w:val="single" w:sz="4" w:space="0" w:color="auto"/>
              <w:right w:val="nil"/>
            </w:tcBorders>
            <w:shd w:val="clear" w:color="000000" w:fill="D9E1F2"/>
            <w:noWrap/>
            <w:vAlign w:val="bottom"/>
            <w:hideMark/>
          </w:tcPr>
          <w:p w14:paraId="2D20CDA7"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0.78</w:t>
            </w:r>
          </w:p>
        </w:tc>
        <w:tc>
          <w:tcPr>
            <w:tcW w:w="960" w:type="dxa"/>
            <w:tcBorders>
              <w:top w:val="nil"/>
              <w:left w:val="nil"/>
              <w:bottom w:val="single" w:sz="4" w:space="0" w:color="auto"/>
              <w:right w:val="nil"/>
            </w:tcBorders>
            <w:shd w:val="clear" w:color="000000" w:fill="D9E1F2"/>
            <w:noWrap/>
            <w:vAlign w:val="bottom"/>
            <w:hideMark/>
          </w:tcPr>
          <w:p w14:paraId="5E7E4C51"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0.02</w:t>
            </w:r>
          </w:p>
        </w:tc>
        <w:tc>
          <w:tcPr>
            <w:tcW w:w="960" w:type="dxa"/>
            <w:tcBorders>
              <w:top w:val="nil"/>
              <w:left w:val="single" w:sz="4" w:space="0" w:color="auto"/>
              <w:bottom w:val="single" w:sz="4" w:space="0" w:color="auto"/>
              <w:right w:val="single" w:sz="4" w:space="0" w:color="auto"/>
            </w:tcBorders>
            <w:shd w:val="clear" w:color="000000" w:fill="D9E1F2"/>
            <w:noWrap/>
            <w:vAlign w:val="bottom"/>
            <w:hideMark/>
          </w:tcPr>
          <w:p w14:paraId="2E42B8A9" w14:textId="77777777" w:rsidR="00CE722A" w:rsidRPr="00CE722A" w:rsidRDefault="00CE722A" w:rsidP="00CE722A">
            <w:pPr>
              <w:keepNext/>
              <w:jc w:val="center"/>
              <w:rPr>
                <w:rFonts w:cs="Calibri"/>
                <w:sz w:val="22"/>
                <w:szCs w:val="22"/>
              </w:rPr>
            </w:pPr>
            <w:r w:rsidRPr="00CE722A">
              <w:rPr>
                <w:rFonts w:cs="Calibri"/>
                <w:sz w:val="22"/>
                <w:szCs w:val="22"/>
              </w:rPr>
              <w:t>2.2%</w:t>
            </w:r>
          </w:p>
        </w:tc>
        <w:tc>
          <w:tcPr>
            <w:tcW w:w="960" w:type="dxa"/>
            <w:tcBorders>
              <w:top w:val="nil"/>
              <w:left w:val="nil"/>
              <w:bottom w:val="single" w:sz="4" w:space="0" w:color="auto"/>
              <w:right w:val="single" w:sz="4" w:space="0" w:color="auto"/>
            </w:tcBorders>
            <w:shd w:val="clear" w:color="000000" w:fill="D9E1F2"/>
            <w:noWrap/>
            <w:vAlign w:val="bottom"/>
            <w:hideMark/>
          </w:tcPr>
          <w:p w14:paraId="50B30130" w14:textId="77777777" w:rsidR="00CE722A" w:rsidRPr="00CE722A" w:rsidRDefault="00CE722A" w:rsidP="00CE722A">
            <w:pPr>
              <w:keepNext/>
              <w:jc w:val="center"/>
              <w:rPr>
                <w:rFonts w:cs="Calibri"/>
                <w:sz w:val="22"/>
                <w:szCs w:val="22"/>
              </w:rPr>
            </w:pPr>
            <w:r w:rsidRPr="00CE722A">
              <w:rPr>
                <w:rFonts w:cs="Calibri"/>
                <w:sz w:val="22"/>
                <w:szCs w:val="22"/>
              </w:rPr>
              <w:t>67</w:t>
            </w:r>
          </w:p>
        </w:tc>
      </w:tr>
      <w:tr w:rsidR="00CE722A" w:rsidRPr="00CE722A" w14:paraId="4FC5678F" w14:textId="77777777" w:rsidTr="00347C60">
        <w:trPr>
          <w:trHeight w:val="20"/>
          <w:jc w:val="center"/>
        </w:trPr>
        <w:tc>
          <w:tcPr>
            <w:tcW w:w="1200" w:type="dxa"/>
            <w:tcBorders>
              <w:top w:val="nil"/>
              <w:left w:val="single" w:sz="4" w:space="0" w:color="auto"/>
              <w:bottom w:val="nil"/>
              <w:right w:val="nil"/>
            </w:tcBorders>
            <w:shd w:val="clear" w:color="000000" w:fill="FFFFFF"/>
            <w:noWrap/>
            <w:vAlign w:val="bottom"/>
            <w:hideMark/>
          </w:tcPr>
          <w:p w14:paraId="2E2A9EE4" w14:textId="77777777" w:rsidR="00CE722A" w:rsidRPr="00CE722A" w:rsidRDefault="00CE722A" w:rsidP="00CE722A">
            <w:pPr>
              <w:keepNext/>
              <w:ind w:firstLineChars="100" w:firstLine="220"/>
              <w:jc w:val="right"/>
              <w:rPr>
                <w:rFonts w:cs="Calibri"/>
                <w:sz w:val="22"/>
                <w:szCs w:val="22"/>
              </w:rPr>
            </w:pPr>
            <w:r w:rsidRPr="00CE722A">
              <w:rPr>
                <w:rFonts w:cs="Calibri"/>
                <w:sz w:val="22"/>
                <w:szCs w:val="22"/>
              </w:rPr>
              <w:t>May-17</w:t>
            </w:r>
          </w:p>
        </w:tc>
        <w:tc>
          <w:tcPr>
            <w:tcW w:w="960" w:type="dxa"/>
            <w:tcBorders>
              <w:top w:val="nil"/>
              <w:left w:val="single" w:sz="4" w:space="0" w:color="auto"/>
              <w:bottom w:val="nil"/>
              <w:right w:val="single" w:sz="4" w:space="0" w:color="auto"/>
            </w:tcBorders>
            <w:shd w:val="clear" w:color="000000" w:fill="FFFFFF"/>
            <w:noWrap/>
            <w:vAlign w:val="bottom"/>
            <w:hideMark/>
          </w:tcPr>
          <w:p w14:paraId="341E4AE6" w14:textId="77777777" w:rsidR="00CE722A" w:rsidRPr="00CE722A" w:rsidRDefault="00CE722A" w:rsidP="00CE722A">
            <w:pPr>
              <w:keepNext/>
              <w:jc w:val="center"/>
              <w:rPr>
                <w:rFonts w:cs="Calibri"/>
                <w:sz w:val="22"/>
                <w:szCs w:val="22"/>
              </w:rPr>
            </w:pPr>
            <w:r w:rsidRPr="00CE722A">
              <w:rPr>
                <w:rFonts w:cs="Calibri"/>
                <w:sz w:val="22"/>
                <w:szCs w:val="22"/>
              </w:rPr>
              <w:t>All</w:t>
            </w:r>
          </w:p>
        </w:tc>
        <w:tc>
          <w:tcPr>
            <w:tcW w:w="960" w:type="dxa"/>
            <w:tcBorders>
              <w:top w:val="nil"/>
              <w:left w:val="nil"/>
              <w:bottom w:val="nil"/>
              <w:right w:val="nil"/>
            </w:tcBorders>
            <w:shd w:val="clear" w:color="000000" w:fill="FFFFFF"/>
            <w:noWrap/>
            <w:vAlign w:val="bottom"/>
            <w:hideMark/>
          </w:tcPr>
          <w:p w14:paraId="092C2AA1"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4,091</w:t>
            </w:r>
          </w:p>
        </w:tc>
        <w:tc>
          <w:tcPr>
            <w:tcW w:w="960" w:type="dxa"/>
            <w:tcBorders>
              <w:top w:val="nil"/>
              <w:left w:val="single" w:sz="4" w:space="0" w:color="auto"/>
              <w:bottom w:val="nil"/>
              <w:right w:val="nil"/>
            </w:tcBorders>
            <w:shd w:val="clear" w:color="000000" w:fill="FFFFFF"/>
            <w:noWrap/>
            <w:vAlign w:val="bottom"/>
            <w:hideMark/>
          </w:tcPr>
          <w:p w14:paraId="7E6C2A7E"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2.68</w:t>
            </w:r>
          </w:p>
        </w:tc>
        <w:tc>
          <w:tcPr>
            <w:tcW w:w="960" w:type="dxa"/>
            <w:tcBorders>
              <w:top w:val="nil"/>
              <w:left w:val="nil"/>
              <w:bottom w:val="nil"/>
              <w:right w:val="single" w:sz="4" w:space="0" w:color="auto"/>
            </w:tcBorders>
            <w:shd w:val="clear" w:color="000000" w:fill="FFFFFF"/>
            <w:noWrap/>
            <w:vAlign w:val="bottom"/>
            <w:hideMark/>
          </w:tcPr>
          <w:p w14:paraId="16A712F8"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0.20</w:t>
            </w:r>
          </w:p>
        </w:tc>
        <w:tc>
          <w:tcPr>
            <w:tcW w:w="960" w:type="dxa"/>
            <w:tcBorders>
              <w:top w:val="nil"/>
              <w:left w:val="nil"/>
              <w:bottom w:val="nil"/>
              <w:right w:val="nil"/>
            </w:tcBorders>
            <w:shd w:val="clear" w:color="000000" w:fill="FFFFFF"/>
            <w:noWrap/>
            <w:vAlign w:val="bottom"/>
            <w:hideMark/>
          </w:tcPr>
          <w:p w14:paraId="228F7CDA"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0.65</w:t>
            </w:r>
          </w:p>
        </w:tc>
        <w:tc>
          <w:tcPr>
            <w:tcW w:w="960" w:type="dxa"/>
            <w:tcBorders>
              <w:top w:val="nil"/>
              <w:left w:val="nil"/>
              <w:bottom w:val="nil"/>
              <w:right w:val="nil"/>
            </w:tcBorders>
            <w:shd w:val="clear" w:color="000000" w:fill="FFFFFF"/>
            <w:noWrap/>
            <w:vAlign w:val="bottom"/>
            <w:hideMark/>
          </w:tcPr>
          <w:p w14:paraId="75B578FB"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0.05</w:t>
            </w:r>
          </w:p>
        </w:tc>
        <w:tc>
          <w:tcPr>
            <w:tcW w:w="960" w:type="dxa"/>
            <w:tcBorders>
              <w:top w:val="nil"/>
              <w:left w:val="single" w:sz="4" w:space="0" w:color="auto"/>
              <w:bottom w:val="nil"/>
              <w:right w:val="single" w:sz="4" w:space="0" w:color="auto"/>
            </w:tcBorders>
            <w:shd w:val="clear" w:color="000000" w:fill="FFFFFF"/>
            <w:noWrap/>
            <w:vAlign w:val="bottom"/>
            <w:hideMark/>
          </w:tcPr>
          <w:p w14:paraId="4DEF2174" w14:textId="77777777" w:rsidR="00CE722A" w:rsidRPr="00CE722A" w:rsidRDefault="00CE722A" w:rsidP="00CE722A">
            <w:pPr>
              <w:keepNext/>
              <w:jc w:val="center"/>
              <w:rPr>
                <w:rFonts w:cs="Calibri"/>
                <w:sz w:val="22"/>
                <w:szCs w:val="22"/>
              </w:rPr>
            </w:pPr>
            <w:r w:rsidRPr="00CE722A">
              <w:rPr>
                <w:rFonts w:cs="Calibri"/>
                <w:sz w:val="22"/>
                <w:szCs w:val="22"/>
              </w:rPr>
              <w:t>7.3%</w:t>
            </w:r>
          </w:p>
        </w:tc>
        <w:tc>
          <w:tcPr>
            <w:tcW w:w="960" w:type="dxa"/>
            <w:tcBorders>
              <w:top w:val="nil"/>
              <w:left w:val="nil"/>
              <w:bottom w:val="nil"/>
              <w:right w:val="single" w:sz="4" w:space="0" w:color="auto"/>
            </w:tcBorders>
            <w:shd w:val="clear" w:color="000000" w:fill="FFFFFF"/>
            <w:noWrap/>
            <w:vAlign w:val="bottom"/>
            <w:hideMark/>
          </w:tcPr>
          <w:p w14:paraId="69E34B1C" w14:textId="77777777" w:rsidR="00CE722A" w:rsidRPr="00CE722A" w:rsidRDefault="00CE722A" w:rsidP="00CE722A">
            <w:pPr>
              <w:keepNext/>
              <w:jc w:val="center"/>
              <w:rPr>
                <w:rFonts w:cs="Calibri"/>
                <w:sz w:val="22"/>
                <w:szCs w:val="22"/>
              </w:rPr>
            </w:pPr>
            <w:r w:rsidRPr="00CE722A">
              <w:rPr>
                <w:rFonts w:cs="Calibri"/>
                <w:sz w:val="22"/>
                <w:szCs w:val="22"/>
              </w:rPr>
              <w:t>69</w:t>
            </w:r>
          </w:p>
        </w:tc>
      </w:tr>
      <w:tr w:rsidR="00CE722A" w:rsidRPr="00CE722A" w14:paraId="60F65F68" w14:textId="77777777" w:rsidTr="00347C60">
        <w:trPr>
          <w:trHeight w:val="20"/>
          <w:jc w:val="center"/>
        </w:trPr>
        <w:tc>
          <w:tcPr>
            <w:tcW w:w="1200" w:type="dxa"/>
            <w:tcBorders>
              <w:top w:val="nil"/>
              <w:left w:val="single" w:sz="4" w:space="0" w:color="auto"/>
              <w:bottom w:val="nil"/>
              <w:right w:val="nil"/>
            </w:tcBorders>
            <w:shd w:val="clear" w:color="000000" w:fill="FFFFFF"/>
            <w:noWrap/>
            <w:vAlign w:val="bottom"/>
            <w:hideMark/>
          </w:tcPr>
          <w:p w14:paraId="6322B27D" w14:textId="77777777" w:rsidR="00CE722A" w:rsidRPr="00CE722A" w:rsidRDefault="00CE722A" w:rsidP="00CE722A">
            <w:pPr>
              <w:keepNext/>
              <w:ind w:firstLineChars="100" w:firstLine="220"/>
              <w:jc w:val="right"/>
              <w:rPr>
                <w:rFonts w:cs="Calibri"/>
                <w:sz w:val="22"/>
                <w:szCs w:val="22"/>
              </w:rPr>
            </w:pPr>
            <w:r w:rsidRPr="00CE722A">
              <w:rPr>
                <w:rFonts w:cs="Calibri"/>
                <w:sz w:val="22"/>
                <w:szCs w:val="22"/>
              </w:rPr>
              <w:t>Jun-17</w:t>
            </w:r>
          </w:p>
        </w:tc>
        <w:tc>
          <w:tcPr>
            <w:tcW w:w="960" w:type="dxa"/>
            <w:tcBorders>
              <w:top w:val="nil"/>
              <w:left w:val="single" w:sz="4" w:space="0" w:color="auto"/>
              <w:bottom w:val="nil"/>
              <w:right w:val="single" w:sz="4" w:space="0" w:color="auto"/>
            </w:tcBorders>
            <w:shd w:val="clear" w:color="000000" w:fill="FFFFFF"/>
            <w:noWrap/>
            <w:vAlign w:val="bottom"/>
            <w:hideMark/>
          </w:tcPr>
          <w:p w14:paraId="45264192" w14:textId="77777777" w:rsidR="00CE722A" w:rsidRPr="00CE722A" w:rsidRDefault="00CE722A" w:rsidP="00CE722A">
            <w:pPr>
              <w:keepNext/>
              <w:jc w:val="center"/>
              <w:rPr>
                <w:rFonts w:cs="Calibri"/>
                <w:sz w:val="22"/>
                <w:szCs w:val="22"/>
              </w:rPr>
            </w:pPr>
            <w:r w:rsidRPr="00CE722A">
              <w:rPr>
                <w:rFonts w:cs="Calibri"/>
                <w:sz w:val="22"/>
                <w:szCs w:val="22"/>
              </w:rPr>
              <w:t>All</w:t>
            </w:r>
          </w:p>
        </w:tc>
        <w:tc>
          <w:tcPr>
            <w:tcW w:w="960" w:type="dxa"/>
            <w:tcBorders>
              <w:top w:val="nil"/>
              <w:left w:val="nil"/>
              <w:bottom w:val="nil"/>
              <w:right w:val="nil"/>
            </w:tcBorders>
            <w:shd w:val="clear" w:color="000000" w:fill="FFFFFF"/>
            <w:noWrap/>
            <w:vAlign w:val="bottom"/>
            <w:hideMark/>
          </w:tcPr>
          <w:p w14:paraId="67AE67E9"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4,323</w:t>
            </w:r>
          </w:p>
        </w:tc>
        <w:tc>
          <w:tcPr>
            <w:tcW w:w="960" w:type="dxa"/>
            <w:tcBorders>
              <w:top w:val="nil"/>
              <w:left w:val="single" w:sz="4" w:space="0" w:color="auto"/>
              <w:bottom w:val="nil"/>
              <w:right w:val="nil"/>
            </w:tcBorders>
            <w:shd w:val="clear" w:color="000000" w:fill="FFFFFF"/>
            <w:noWrap/>
            <w:vAlign w:val="bottom"/>
            <w:hideMark/>
          </w:tcPr>
          <w:p w14:paraId="28D548BC"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3.48</w:t>
            </w:r>
          </w:p>
        </w:tc>
        <w:tc>
          <w:tcPr>
            <w:tcW w:w="960" w:type="dxa"/>
            <w:tcBorders>
              <w:top w:val="nil"/>
              <w:left w:val="nil"/>
              <w:bottom w:val="nil"/>
              <w:right w:val="single" w:sz="4" w:space="0" w:color="auto"/>
            </w:tcBorders>
            <w:shd w:val="clear" w:color="000000" w:fill="FFFFFF"/>
            <w:noWrap/>
            <w:vAlign w:val="bottom"/>
            <w:hideMark/>
          </w:tcPr>
          <w:p w14:paraId="19542E23"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0.23</w:t>
            </w:r>
          </w:p>
        </w:tc>
        <w:tc>
          <w:tcPr>
            <w:tcW w:w="960" w:type="dxa"/>
            <w:tcBorders>
              <w:top w:val="nil"/>
              <w:left w:val="nil"/>
              <w:bottom w:val="nil"/>
              <w:right w:val="nil"/>
            </w:tcBorders>
            <w:shd w:val="clear" w:color="000000" w:fill="FFFFFF"/>
            <w:noWrap/>
            <w:vAlign w:val="bottom"/>
            <w:hideMark/>
          </w:tcPr>
          <w:p w14:paraId="4D7AC663"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0.80</w:t>
            </w:r>
          </w:p>
        </w:tc>
        <w:tc>
          <w:tcPr>
            <w:tcW w:w="960" w:type="dxa"/>
            <w:tcBorders>
              <w:top w:val="nil"/>
              <w:left w:val="nil"/>
              <w:bottom w:val="nil"/>
              <w:right w:val="nil"/>
            </w:tcBorders>
            <w:shd w:val="clear" w:color="000000" w:fill="FFFFFF"/>
            <w:noWrap/>
            <w:vAlign w:val="bottom"/>
            <w:hideMark/>
          </w:tcPr>
          <w:p w14:paraId="7A199D5A"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0.05</w:t>
            </w:r>
          </w:p>
        </w:tc>
        <w:tc>
          <w:tcPr>
            <w:tcW w:w="960" w:type="dxa"/>
            <w:tcBorders>
              <w:top w:val="nil"/>
              <w:left w:val="single" w:sz="4" w:space="0" w:color="auto"/>
              <w:bottom w:val="nil"/>
              <w:right w:val="single" w:sz="4" w:space="0" w:color="auto"/>
            </w:tcBorders>
            <w:shd w:val="clear" w:color="000000" w:fill="FFFFFF"/>
            <w:noWrap/>
            <w:vAlign w:val="bottom"/>
            <w:hideMark/>
          </w:tcPr>
          <w:p w14:paraId="43B67A49" w14:textId="77777777" w:rsidR="00CE722A" w:rsidRPr="00CE722A" w:rsidRDefault="00CE722A" w:rsidP="00CE722A">
            <w:pPr>
              <w:keepNext/>
              <w:jc w:val="center"/>
              <w:rPr>
                <w:rFonts w:cs="Calibri"/>
                <w:sz w:val="22"/>
                <w:szCs w:val="22"/>
              </w:rPr>
            </w:pPr>
            <w:r w:rsidRPr="00CE722A">
              <w:rPr>
                <w:rFonts w:cs="Calibri"/>
                <w:sz w:val="22"/>
                <w:szCs w:val="22"/>
              </w:rPr>
              <w:t>6.6%</w:t>
            </w:r>
          </w:p>
        </w:tc>
        <w:tc>
          <w:tcPr>
            <w:tcW w:w="960" w:type="dxa"/>
            <w:tcBorders>
              <w:top w:val="nil"/>
              <w:left w:val="nil"/>
              <w:bottom w:val="nil"/>
              <w:right w:val="single" w:sz="4" w:space="0" w:color="auto"/>
            </w:tcBorders>
            <w:shd w:val="clear" w:color="000000" w:fill="FFFFFF"/>
            <w:noWrap/>
            <w:vAlign w:val="bottom"/>
            <w:hideMark/>
          </w:tcPr>
          <w:p w14:paraId="4A7E0E46" w14:textId="77777777" w:rsidR="00CE722A" w:rsidRPr="00CE722A" w:rsidRDefault="00CE722A" w:rsidP="00CE722A">
            <w:pPr>
              <w:keepNext/>
              <w:jc w:val="center"/>
              <w:rPr>
                <w:rFonts w:cs="Calibri"/>
                <w:sz w:val="22"/>
                <w:szCs w:val="22"/>
              </w:rPr>
            </w:pPr>
            <w:r w:rsidRPr="00CE722A">
              <w:rPr>
                <w:rFonts w:cs="Calibri"/>
                <w:sz w:val="22"/>
                <w:szCs w:val="22"/>
              </w:rPr>
              <w:t>75</w:t>
            </w:r>
          </w:p>
        </w:tc>
      </w:tr>
      <w:tr w:rsidR="00CE722A" w:rsidRPr="00CE722A" w14:paraId="6B4B4900" w14:textId="77777777" w:rsidTr="00347C60">
        <w:trPr>
          <w:trHeight w:val="20"/>
          <w:jc w:val="center"/>
        </w:trPr>
        <w:tc>
          <w:tcPr>
            <w:tcW w:w="1200" w:type="dxa"/>
            <w:tcBorders>
              <w:top w:val="nil"/>
              <w:left w:val="single" w:sz="4" w:space="0" w:color="auto"/>
              <w:bottom w:val="nil"/>
              <w:right w:val="nil"/>
            </w:tcBorders>
            <w:shd w:val="clear" w:color="000000" w:fill="FFFFFF"/>
            <w:noWrap/>
            <w:vAlign w:val="bottom"/>
            <w:hideMark/>
          </w:tcPr>
          <w:p w14:paraId="66B6F9A9" w14:textId="77777777" w:rsidR="00CE722A" w:rsidRPr="00CE722A" w:rsidRDefault="00CE722A" w:rsidP="00CE722A">
            <w:pPr>
              <w:keepNext/>
              <w:ind w:firstLineChars="100" w:firstLine="220"/>
              <w:jc w:val="right"/>
              <w:rPr>
                <w:rFonts w:cs="Calibri"/>
                <w:sz w:val="22"/>
                <w:szCs w:val="22"/>
              </w:rPr>
            </w:pPr>
            <w:r w:rsidRPr="00CE722A">
              <w:rPr>
                <w:rFonts w:cs="Calibri"/>
                <w:sz w:val="22"/>
                <w:szCs w:val="22"/>
              </w:rPr>
              <w:t>Jul-17</w:t>
            </w:r>
          </w:p>
        </w:tc>
        <w:tc>
          <w:tcPr>
            <w:tcW w:w="960" w:type="dxa"/>
            <w:tcBorders>
              <w:top w:val="nil"/>
              <w:left w:val="single" w:sz="4" w:space="0" w:color="auto"/>
              <w:bottom w:val="nil"/>
              <w:right w:val="single" w:sz="4" w:space="0" w:color="auto"/>
            </w:tcBorders>
            <w:shd w:val="clear" w:color="000000" w:fill="FFFFFF"/>
            <w:noWrap/>
            <w:vAlign w:val="bottom"/>
            <w:hideMark/>
          </w:tcPr>
          <w:p w14:paraId="1494C348" w14:textId="77777777" w:rsidR="00CE722A" w:rsidRPr="00CE722A" w:rsidRDefault="00CE722A" w:rsidP="00CE722A">
            <w:pPr>
              <w:keepNext/>
              <w:jc w:val="center"/>
              <w:rPr>
                <w:rFonts w:cs="Calibri"/>
                <w:sz w:val="22"/>
                <w:szCs w:val="22"/>
              </w:rPr>
            </w:pPr>
            <w:r w:rsidRPr="00CE722A">
              <w:rPr>
                <w:rFonts w:cs="Calibri"/>
                <w:sz w:val="22"/>
                <w:szCs w:val="22"/>
              </w:rPr>
              <w:t>All</w:t>
            </w:r>
          </w:p>
        </w:tc>
        <w:tc>
          <w:tcPr>
            <w:tcW w:w="960" w:type="dxa"/>
            <w:tcBorders>
              <w:top w:val="nil"/>
              <w:left w:val="nil"/>
              <w:bottom w:val="nil"/>
              <w:right w:val="nil"/>
            </w:tcBorders>
            <w:shd w:val="clear" w:color="000000" w:fill="FFFFFF"/>
            <w:noWrap/>
            <w:vAlign w:val="bottom"/>
            <w:hideMark/>
          </w:tcPr>
          <w:p w14:paraId="2A145070"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4,622</w:t>
            </w:r>
          </w:p>
        </w:tc>
        <w:tc>
          <w:tcPr>
            <w:tcW w:w="960" w:type="dxa"/>
            <w:tcBorders>
              <w:top w:val="nil"/>
              <w:left w:val="single" w:sz="4" w:space="0" w:color="auto"/>
              <w:bottom w:val="nil"/>
              <w:right w:val="nil"/>
            </w:tcBorders>
            <w:shd w:val="clear" w:color="000000" w:fill="FFFFFF"/>
            <w:noWrap/>
            <w:vAlign w:val="bottom"/>
            <w:hideMark/>
          </w:tcPr>
          <w:p w14:paraId="685EA3C3"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4.99</w:t>
            </w:r>
          </w:p>
        </w:tc>
        <w:tc>
          <w:tcPr>
            <w:tcW w:w="960" w:type="dxa"/>
            <w:tcBorders>
              <w:top w:val="nil"/>
              <w:left w:val="nil"/>
              <w:bottom w:val="nil"/>
              <w:right w:val="single" w:sz="4" w:space="0" w:color="auto"/>
            </w:tcBorders>
            <w:shd w:val="clear" w:color="000000" w:fill="FFFFFF"/>
            <w:noWrap/>
            <w:vAlign w:val="bottom"/>
            <w:hideMark/>
          </w:tcPr>
          <w:p w14:paraId="11BD7032"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0.31</w:t>
            </w:r>
          </w:p>
        </w:tc>
        <w:tc>
          <w:tcPr>
            <w:tcW w:w="960" w:type="dxa"/>
            <w:tcBorders>
              <w:top w:val="nil"/>
              <w:left w:val="nil"/>
              <w:bottom w:val="nil"/>
              <w:right w:val="nil"/>
            </w:tcBorders>
            <w:shd w:val="clear" w:color="000000" w:fill="FFFFFF"/>
            <w:noWrap/>
            <w:vAlign w:val="bottom"/>
            <w:hideMark/>
          </w:tcPr>
          <w:p w14:paraId="2B85E769"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1.08</w:t>
            </w:r>
          </w:p>
        </w:tc>
        <w:tc>
          <w:tcPr>
            <w:tcW w:w="960" w:type="dxa"/>
            <w:tcBorders>
              <w:top w:val="nil"/>
              <w:left w:val="nil"/>
              <w:bottom w:val="nil"/>
              <w:right w:val="nil"/>
            </w:tcBorders>
            <w:shd w:val="clear" w:color="000000" w:fill="FFFFFF"/>
            <w:noWrap/>
            <w:vAlign w:val="bottom"/>
            <w:hideMark/>
          </w:tcPr>
          <w:p w14:paraId="4B0B784B"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0.07</w:t>
            </w:r>
          </w:p>
        </w:tc>
        <w:tc>
          <w:tcPr>
            <w:tcW w:w="960" w:type="dxa"/>
            <w:tcBorders>
              <w:top w:val="nil"/>
              <w:left w:val="single" w:sz="4" w:space="0" w:color="auto"/>
              <w:bottom w:val="nil"/>
              <w:right w:val="single" w:sz="4" w:space="0" w:color="auto"/>
            </w:tcBorders>
            <w:shd w:val="clear" w:color="000000" w:fill="FFFFFF"/>
            <w:noWrap/>
            <w:vAlign w:val="bottom"/>
            <w:hideMark/>
          </w:tcPr>
          <w:p w14:paraId="1212A439" w14:textId="77777777" w:rsidR="00CE722A" w:rsidRPr="00CE722A" w:rsidRDefault="00CE722A" w:rsidP="00CE722A">
            <w:pPr>
              <w:keepNext/>
              <w:jc w:val="center"/>
              <w:rPr>
                <w:rFonts w:cs="Calibri"/>
                <w:sz w:val="22"/>
                <w:szCs w:val="22"/>
              </w:rPr>
            </w:pPr>
            <w:r w:rsidRPr="00CE722A">
              <w:rPr>
                <w:rFonts w:cs="Calibri"/>
                <w:sz w:val="22"/>
                <w:szCs w:val="22"/>
              </w:rPr>
              <w:t>6.3%</w:t>
            </w:r>
          </w:p>
        </w:tc>
        <w:tc>
          <w:tcPr>
            <w:tcW w:w="960" w:type="dxa"/>
            <w:tcBorders>
              <w:top w:val="nil"/>
              <w:left w:val="nil"/>
              <w:bottom w:val="nil"/>
              <w:right w:val="single" w:sz="4" w:space="0" w:color="auto"/>
            </w:tcBorders>
            <w:shd w:val="clear" w:color="000000" w:fill="FFFFFF"/>
            <w:noWrap/>
            <w:vAlign w:val="bottom"/>
            <w:hideMark/>
          </w:tcPr>
          <w:p w14:paraId="7032E36A" w14:textId="77777777" w:rsidR="00CE722A" w:rsidRPr="00CE722A" w:rsidRDefault="00CE722A" w:rsidP="00CE722A">
            <w:pPr>
              <w:keepNext/>
              <w:jc w:val="center"/>
              <w:rPr>
                <w:rFonts w:cs="Calibri"/>
                <w:sz w:val="22"/>
                <w:szCs w:val="22"/>
              </w:rPr>
            </w:pPr>
            <w:r w:rsidRPr="00CE722A">
              <w:rPr>
                <w:rFonts w:cs="Calibri"/>
                <w:sz w:val="22"/>
                <w:szCs w:val="22"/>
              </w:rPr>
              <w:t>80</w:t>
            </w:r>
          </w:p>
        </w:tc>
      </w:tr>
      <w:tr w:rsidR="00CE722A" w:rsidRPr="00CE722A" w14:paraId="356535EA" w14:textId="77777777" w:rsidTr="00347C60">
        <w:trPr>
          <w:trHeight w:val="20"/>
          <w:jc w:val="center"/>
        </w:trPr>
        <w:tc>
          <w:tcPr>
            <w:tcW w:w="1200" w:type="dxa"/>
            <w:tcBorders>
              <w:top w:val="nil"/>
              <w:left w:val="single" w:sz="4" w:space="0" w:color="auto"/>
              <w:bottom w:val="nil"/>
              <w:right w:val="nil"/>
            </w:tcBorders>
            <w:shd w:val="clear" w:color="000000" w:fill="FFFFFF"/>
            <w:noWrap/>
            <w:vAlign w:val="bottom"/>
            <w:hideMark/>
          </w:tcPr>
          <w:p w14:paraId="423C69A1" w14:textId="77777777" w:rsidR="00CE722A" w:rsidRPr="00CE722A" w:rsidRDefault="00CE722A" w:rsidP="00CE722A">
            <w:pPr>
              <w:keepNext/>
              <w:ind w:firstLineChars="100" w:firstLine="220"/>
              <w:jc w:val="right"/>
              <w:rPr>
                <w:rFonts w:cs="Calibri"/>
                <w:sz w:val="22"/>
                <w:szCs w:val="22"/>
              </w:rPr>
            </w:pPr>
            <w:r w:rsidRPr="00CE722A">
              <w:rPr>
                <w:rFonts w:cs="Calibri"/>
                <w:sz w:val="22"/>
                <w:szCs w:val="22"/>
              </w:rPr>
              <w:t>Aug-17</w:t>
            </w:r>
          </w:p>
        </w:tc>
        <w:tc>
          <w:tcPr>
            <w:tcW w:w="960" w:type="dxa"/>
            <w:tcBorders>
              <w:top w:val="nil"/>
              <w:left w:val="single" w:sz="4" w:space="0" w:color="auto"/>
              <w:bottom w:val="nil"/>
              <w:right w:val="single" w:sz="4" w:space="0" w:color="auto"/>
            </w:tcBorders>
            <w:shd w:val="clear" w:color="000000" w:fill="FFFFFF"/>
            <w:noWrap/>
            <w:vAlign w:val="bottom"/>
            <w:hideMark/>
          </w:tcPr>
          <w:p w14:paraId="22AD1D3B" w14:textId="77777777" w:rsidR="00CE722A" w:rsidRPr="00CE722A" w:rsidRDefault="00CE722A" w:rsidP="00CE722A">
            <w:pPr>
              <w:keepNext/>
              <w:jc w:val="center"/>
              <w:rPr>
                <w:rFonts w:cs="Calibri"/>
                <w:sz w:val="22"/>
                <w:szCs w:val="22"/>
              </w:rPr>
            </w:pPr>
            <w:r w:rsidRPr="00CE722A">
              <w:rPr>
                <w:rFonts w:cs="Calibri"/>
                <w:sz w:val="22"/>
                <w:szCs w:val="22"/>
              </w:rPr>
              <w:t>All</w:t>
            </w:r>
          </w:p>
        </w:tc>
        <w:tc>
          <w:tcPr>
            <w:tcW w:w="960" w:type="dxa"/>
            <w:tcBorders>
              <w:top w:val="nil"/>
              <w:left w:val="nil"/>
              <w:bottom w:val="nil"/>
              <w:right w:val="nil"/>
            </w:tcBorders>
            <w:shd w:val="clear" w:color="000000" w:fill="FFFFFF"/>
            <w:noWrap/>
            <w:vAlign w:val="bottom"/>
            <w:hideMark/>
          </w:tcPr>
          <w:p w14:paraId="66472ECE"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4,984</w:t>
            </w:r>
          </w:p>
        </w:tc>
        <w:tc>
          <w:tcPr>
            <w:tcW w:w="960" w:type="dxa"/>
            <w:tcBorders>
              <w:top w:val="nil"/>
              <w:left w:val="single" w:sz="4" w:space="0" w:color="auto"/>
              <w:bottom w:val="nil"/>
              <w:right w:val="nil"/>
            </w:tcBorders>
            <w:shd w:val="clear" w:color="000000" w:fill="FFFFFF"/>
            <w:noWrap/>
            <w:vAlign w:val="bottom"/>
            <w:hideMark/>
          </w:tcPr>
          <w:p w14:paraId="53DB94E3"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4.93</w:t>
            </w:r>
          </w:p>
        </w:tc>
        <w:tc>
          <w:tcPr>
            <w:tcW w:w="960" w:type="dxa"/>
            <w:tcBorders>
              <w:top w:val="nil"/>
              <w:left w:val="nil"/>
              <w:bottom w:val="nil"/>
              <w:right w:val="single" w:sz="4" w:space="0" w:color="auto"/>
            </w:tcBorders>
            <w:shd w:val="clear" w:color="000000" w:fill="FFFFFF"/>
            <w:noWrap/>
            <w:vAlign w:val="bottom"/>
            <w:hideMark/>
          </w:tcPr>
          <w:p w14:paraId="29EBB291"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0.12</w:t>
            </w:r>
          </w:p>
        </w:tc>
        <w:tc>
          <w:tcPr>
            <w:tcW w:w="960" w:type="dxa"/>
            <w:tcBorders>
              <w:top w:val="nil"/>
              <w:left w:val="nil"/>
              <w:bottom w:val="nil"/>
              <w:right w:val="nil"/>
            </w:tcBorders>
            <w:shd w:val="clear" w:color="000000" w:fill="FFFFFF"/>
            <w:noWrap/>
            <w:vAlign w:val="bottom"/>
            <w:hideMark/>
          </w:tcPr>
          <w:p w14:paraId="522E1FF1"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0.99</w:t>
            </w:r>
          </w:p>
        </w:tc>
        <w:tc>
          <w:tcPr>
            <w:tcW w:w="960" w:type="dxa"/>
            <w:tcBorders>
              <w:top w:val="nil"/>
              <w:left w:val="nil"/>
              <w:bottom w:val="nil"/>
              <w:right w:val="nil"/>
            </w:tcBorders>
            <w:shd w:val="clear" w:color="000000" w:fill="FFFFFF"/>
            <w:noWrap/>
            <w:vAlign w:val="bottom"/>
            <w:hideMark/>
          </w:tcPr>
          <w:p w14:paraId="4E8C5464"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0.02</w:t>
            </w:r>
          </w:p>
        </w:tc>
        <w:tc>
          <w:tcPr>
            <w:tcW w:w="960" w:type="dxa"/>
            <w:tcBorders>
              <w:top w:val="nil"/>
              <w:left w:val="single" w:sz="4" w:space="0" w:color="auto"/>
              <w:bottom w:val="nil"/>
              <w:right w:val="single" w:sz="4" w:space="0" w:color="auto"/>
            </w:tcBorders>
            <w:shd w:val="clear" w:color="000000" w:fill="FFFFFF"/>
            <w:noWrap/>
            <w:vAlign w:val="bottom"/>
            <w:hideMark/>
          </w:tcPr>
          <w:p w14:paraId="788E531F" w14:textId="77777777" w:rsidR="00CE722A" w:rsidRPr="00CE722A" w:rsidRDefault="00CE722A" w:rsidP="00CE722A">
            <w:pPr>
              <w:keepNext/>
              <w:jc w:val="center"/>
              <w:rPr>
                <w:rFonts w:cs="Calibri"/>
                <w:sz w:val="22"/>
                <w:szCs w:val="22"/>
              </w:rPr>
            </w:pPr>
            <w:r w:rsidRPr="00CE722A">
              <w:rPr>
                <w:rFonts w:cs="Calibri"/>
                <w:sz w:val="22"/>
                <w:szCs w:val="22"/>
              </w:rPr>
              <w:t>2.5%</w:t>
            </w:r>
          </w:p>
        </w:tc>
        <w:tc>
          <w:tcPr>
            <w:tcW w:w="960" w:type="dxa"/>
            <w:tcBorders>
              <w:top w:val="nil"/>
              <w:left w:val="nil"/>
              <w:bottom w:val="nil"/>
              <w:right w:val="single" w:sz="4" w:space="0" w:color="auto"/>
            </w:tcBorders>
            <w:shd w:val="clear" w:color="000000" w:fill="FFFFFF"/>
            <w:noWrap/>
            <w:vAlign w:val="bottom"/>
            <w:hideMark/>
          </w:tcPr>
          <w:p w14:paraId="0717C174" w14:textId="77777777" w:rsidR="00CE722A" w:rsidRPr="00CE722A" w:rsidRDefault="00CE722A" w:rsidP="00CE722A">
            <w:pPr>
              <w:keepNext/>
              <w:jc w:val="center"/>
              <w:rPr>
                <w:rFonts w:cs="Calibri"/>
                <w:sz w:val="22"/>
                <w:szCs w:val="22"/>
              </w:rPr>
            </w:pPr>
            <w:r w:rsidRPr="00CE722A">
              <w:rPr>
                <w:rFonts w:cs="Calibri"/>
                <w:sz w:val="22"/>
                <w:szCs w:val="22"/>
              </w:rPr>
              <w:t>80</w:t>
            </w:r>
          </w:p>
        </w:tc>
      </w:tr>
      <w:tr w:rsidR="00CE722A" w:rsidRPr="00CE722A" w14:paraId="0ED733C9" w14:textId="77777777" w:rsidTr="00347C60">
        <w:trPr>
          <w:trHeight w:val="20"/>
          <w:jc w:val="center"/>
        </w:trPr>
        <w:tc>
          <w:tcPr>
            <w:tcW w:w="1200" w:type="dxa"/>
            <w:tcBorders>
              <w:top w:val="nil"/>
              <w:left w:val="single" w:sz="4" w:space="0" w:color="auto"/>
              <w:bottom w:val="single" w:sz="4" w:space="0" w:color="auto"/>
              <w:right w:val="single" w:sz="4" w:space="0" w:color="auto"/>
            </w:tcBorders>
            <w:shd w:val="clear" w:color="000000" w:fill="FFFFFF"/>
            <w:noWrap/>
            <w:vAlign w:val="bottom"/>
            <w:hideMark/>
          </w:tcPr>
          <w:p w14:paraId="06D22362" w14:textId="77777777" w:rsidR="00CE722A" w:rsidRPr="00CE722A" w:rsidRDefault="00CE722A" w:rsidP="00CE722A">
            <w:pPr>
              <w:keepNext/>
              <w:ind w:firstLineChars="100" w:firstLine="220"/>
              <w:jc w:val="right"/>
              <w:rPr>
                <w:rFonts w:cs="Calibri"/>
                <w:sz w:val="22"/>
                <w:szCs w:val="22"/>
              </w:rPr>
            </w:pPr>
            <w:r w:rsidRPr="00CE722A">
              <w:rPr>
                <w:rFonts w:cs="Calibri"/>
                <w:sz w:val="22"/>
                <w:szCs w:val="22"/>
              </w:rPr>
              <w:t>Sep-17</w:t>
            </w:r>
          </w:p>
        </w:tc>
        <w:tc>
          <w:tcPr>
            <w:tcW w:w="960" w:type="dxa"/>
            <w:tcBorders>
              <w:top w:val="nil"/>
              <w:left w:val="nil"/>
              <w:bottom w:val="single" w:sz="4" w:space="0" w:color="auto"/>
              <w:right w:val="single" w:sz="4" w:space="0" w:color="auto"/>
            </w:tcBorders>
            <w:shd w:val="clear" w:color="000000" w:fill="FFFFFF"/>
            <w:noWrap/>
            <w:vAlign w:val="bottom"/>
            <w:hideMark/>
          </w:tcPr>
          <w:p w14:paraId="46A4241E" w14:textId="77777777" w:rsidR="00CE722A" w:rsidRPr="00CE722A" w:rsidRDefault="00CE722A" w:rsidP="00CE722A">
            <w:pPr>
              <w:keepNext/>
              <w:jc w:val="center"/>
              <w:rPr>
                <w:rFonts w:cs="Calibri"/>
                <w:sz w:val="22"/>
                <w:szCs w:val="22"/>
              </w:rPr>
            </w:pPr>
            <w:r w:rsidRPr="00CE722A">
              <w:rPr>
                <w:rFonts w:cs="Calibri"/>
                <w:sz w:val="22"/>
                <w:szCs w:val="22"/>
              </w:rPr>
              <w:t>All</w:t>
            </w:r>
          </w:p>
        </w:tc>
        <w:tc>
          <w:tcPr>
            <w:tcW w:w="960" w:type="dxa"/>
            <w:tcBorders>
              <w:top w:val="nil"/>
              <w:left w:val="nil"/>
              <w:bottom w:val="single" w:sz="4" w:space="0" w:color="auto"/>
              <w:right w:val="nil"/>
            </w:tcBorders>
            <w:shd w:val="clear" w:color="000000" w:fill="FFFFFF"/>
            <w:noWrap/>
            <w:vAlign w:val="bottom"/>
            <w:hideMark/>
          </w:tcPr>
          <w:p w14:paraId="220A719C"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5,229</w:t>
            </w:r>
          </w:p>
        </w:tc>
        <w:tc>
          <w:tcPr>
            <w:tcW w:w="960" w:type="dxa"/>
            <w:tcBorders>
              <w:top w:val="nil"/>
              <w:left w:val="single" w:sz="4" w:space="0" w:color="auto"/>
              <w:bottom w:val="single" w:sz="4" w:space="0" w:color="auto"/>
              <w:right w:val="nil"/>
            </w:tcBorders>
            <w:shd w:val="clear" w:color="000000" w:fill="FFFFFF"/>
            <w:noWrap/>
            <w:vAlign w:val="bottom"/>
            <w:hideMark/>
          </w:tcPr>
          <w:p w14:paraId="05B537EE"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4.59</w:t>
            </w:r>
          </w:p>
        </w:tc>
        <w:tc>
          <w:tcPr>
            <w:tcW w:w="960" w:type="dxa"/>
            <w:tcBorders>
              <w:top w:val="nil"/>
              <w:left w:val="nil"/>
              <w:bottom w:val="single" w:sz="4" w:space="0" w:color="auto"/>
              <w:right w:val="single" w:sz="4" w:space="0" w:color="auto"/>
            </w:tcBorders>
            <w:shd w:val="clear" w:color="000000" w:fill="FFFFFF"/>
            <w:noWrap/>
            <w:vAlign w:val="bottom"/>
            <w:hideMark/>
          </w:tcPr>
          <w:p w14:paraId="142F592A"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0.37</w:t>
            </w:r>
          </w:p>
        </w:tc>
        <w:tc>
          <w:tcPr>
            <w:tcW w:w="960" w:type="dxa"/>
            <w:tcBorders>
              <w:top w:val="nil"/>
              <w:left w:val="nil"/>
              <w:bottom w:val="single" w:sz="4" w:space="0" w:color="auto"/>
              <w:right w:val="nil"/>
            </w:tcBorders>
            <w:shd w:val="clear" w:color="000000" w:fill="FFFFFF"/>
            <w:noWrap/>
            <w:vAlign w:val="bottom"/>
            <w:hideMark/>
          </w:tcPr>
          <w:p w14:paraId="777C6078"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0.88</w:t>
            </w:r>
          </w:p>
        </w:tc>
        <w:tc>
          <w:tcPr>
            <w:tcW w:w="960" w:type="dxa"/>
            <w:tcBorders>
              <w:top w:val="nil"/>
              <w:left w:val="nil"/>
              <w:bottom w:val="single" w:sz="4" w:space="0" w:color="auto"/>
              <w:right w:val="nil"/>
            </w:tcBorders>
            <w:shd w:val="clear" w:color="000000" w:fill="FFFFFF"/>
            <w:noWrap/>
            <w:vAlign w:val="bottom"/>
            <w:hideMark/>
          </w:tcPr>
          <w:p w14:paraId="798DCEFB" w14:textId="77777777" w:rsidR="00CE722A" w:rsidRPr="00CE722A" w:rsidRDefault="00CE722A" w:rsidP="00347C60">
            <w:pPr>
              <w:keepNext/>
              <w:ind w:firstLineChars="100" w:firstLine="220"/>
              <w:jc w:val="center"/>
              <w:rPr>
                <w:rFonts w:cs="Calibri"/>
                <w:sz w:val="22"/>
                <w:szCs w:val="22"/>
              </w:rPr>
            </w:pPr>
            <w:r w:rsidRPr="00CE722A">
              <w:rPr>
                <w:rFonts w:cs="Calibri"/>
                <w:sz w:val="22"/>
                <w:szCs w:val="22"/>
              </w:rPr>
              <w:t>0.07</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04A68E5" w14:textId="77777777" w:rsidR="00CE722A" w:rsidRPr="00CE722A" w:rsidRDefault="00CE722A" w:rsidP="00CE722A">
            <w:pPr>
              <w:keepNext/>
              <w:jc w:val="center"/>
              <w:rPr>
                <w:rFonts w:cs="Calibri"/>
                <w:sz w:val="22"/>
                <w:szCs w:val="22"/>
              </w:rPr>
            </w:pPr>
            <w:r w:rsidRPr="00CE722A">
              <w:rPr>
                <w:rFonts w:cs="Calibri"/>
                <w:sz w:val="22"/>
                <w:szCs w:val="22"/>
              </w:rPr>
              <w:t>8.1%</w:t>
            </w:r>
          </w:p>
        </w:tc>
        <w:tc>
          <w:tcPr>
            <w:tcW w:w="960" w:type="dxa"/>
            <w:tcBorders>
              <w:top w:val="nil"/>
              <w:left w:val="nil"/>
              <w:bottom w:val="single" w:sz="4" w:space="0" w:color="auto"/>
              <w:right w:val="single" w:sz="4" w:space="0" w:color="auto"/>
            </w:tcBorders>
            <w:shd w:val="clear" w:color="000000" w:fill="FFFFFF"/>
            <w:noWrap/>
            <w:vAlign w:val="bottom"/>
            <w:hideMark/>
          </w:tcPr>
          <w:p w14:paraId="51A700D1" w14:textId="77777777" w:rsidR="00CE722A" w:rsidRPr="00CE722A" w:rsidRDefault="00CE722A" w:rsidP="00CE722A">
            <w:pPr>
              <w:keepNext/>
              <w:jc w:val="center"/>
              <w:rPr>
                <w:rFonts w:cs="Calibri"/>
                <w:sz w:val="22"/>
                <w:szCs w:val="22"/>
              </w:rPr>
            </w:pPr>
            <w:r w:rsidRPr="00CE722A">
              <w:rPr>
                <w:rFonts w:cs="Calibri"/>
                <w:sz w:val="22"/>
                <w:szCs w:val="22"/>
              </w:rPr>
              <w:t>79</w:t>
            </w:r>
          </w:p>
        </w:tc>
      </w:tr>
    </w:tbl>
    <w:p w14:paraId="5C03528B" w14:textId="77777777" w:rsidR="00CE722A" w:rsidRDefault="00CE722A" w:rsidP="00237521"/>
    <w:p w14:paraId="31620B22" w14:textId="0E1EFE68" w:rsidR="006D42C7" w:rsidRDefault="006D42C7" w:rsidP="00095AB1">
      <w:pPr>
        <w:spacing w:after="120"/>
      </w:pPr>
      <w:r>
        <w:t xml:space="preserve">Table ES.5 summarizes </w:t>
      </w:r>
      <w:r w:rsidR="005E5D58" w:rsidRPr="00402BFC">
        <w:t>CPP</w:t>
      </w:r>
      <w:r w:rsidR="003321E8">
        <w:t xml:space="preserve"> load impact </w:t>
      </w:r>
      <w:r>
        <w:t xml:space="preserve">results by season and climate zone. </w:t>
      </w:r>
      <w:r w:rsidR="00DB60E5">
        <w:t xml:space="preserve">Both summer and winter peak load impacts are similar between the Coastal and Inland climate zones, with Coastal </w:t>
      </w:r>
      <w:r w:rsidR="009E12A5">
        <w:t xml:space="preserve">percentage </w:t>
      </w:r>
      <w:r w:rsidR="00DB60E5">
        <w:t>load impacts slightly larger in the summer and slightly smaller in the winter, when the TOU period is shorter and later in the day.</w:t>
      </w:r>
    </w:p>
    <w:p w14:paraId="2E840A09" w14:textId="76C63C7B" w:rsidR="00CE722A" w:rsidRDefault="006D42C7" w:rsidP="00CD7CF9">
      <w:pPr>
        <w:pStyle w:val="TableCaption"/>
        <w:keepNext/>
        <w:keepLines/>
        <w:rPr>
          <w:i/>
        </w:rPr>
      </w:pPr>
      <w:bookmarkStart w:id="33" w:name="_Toc509576788"/>
      <w:r>
        <w:t xml:space="preserve">Table </w:t>
      </w:r>
      <w:r w:rsidR="004E7E8B">
        <w:t>ES</w:t>
      </w:r>
      <w:r>
        <w:t xml:space="preserve">.5: </w:t>
      </w:r>
      <w:r w:rsidR="006D4EEC">
        <w:t>TOU</w:t>
      </w:r>
      <w:r>
        <w:t xml:space="preserve"> Peak Load Impacts </w:t>
      </w:r>
      <w:r w:rsidR="006D4EEC">
        <w:t xml:space="preserve">for CPP Customers </w:t>
      </w:r>
      <w:r>
        <w:t xml:space="preserve">– </w:t>
      </w:r>
      <w:r w:rsidRPr="00222B7F">
        <w:rPr>
          <w:i/>
        </w:rPr>
        <w:t xml:space="preserve">Average Weekday by </w:t>
      </w:r>
      <w:r>
        <w:rPr>
          <w:i/>
        </w:rPr>
        <w:t>Season &amp; Climate Zone</w:t>
      </w:r>
      <w:bookmarkEnd w:id="33"/>
    </w:p>
    <w:tbl>
      <w:tblPr>
        <w:tblW w:w="9143" w:type="dxa"/>
        <w:jc w:val="center"/>
        <w:tblLook w:val="04A0" w:firstRow="1" w:lastRow="0" w:firstColumn="1" w:lastColumn="0" w:noHBand="0" w:noVBand="1"/>
      </w:tblPr>
      <w:tblGrid>
        <w:gridCol w:w="983"/>
        <w:gridCol w:w="971"/>
        <w:gridCol w:w="1152"/>
        <w:gridCol w:w="1087"/>
        <w:gridCol w:w="1088"/>
        <w:gridCol w:w="989"/>
        <w:gridCol w:w="989"/>
        <w:gridCol w:w="970"/>
        <w:gridCol w:w="970"/>
      </w:tblGrid>
      <w:tr w:rsidR="00CD7CF9" w:rsidRPr="00CD7CF9" w14:paraId="5A94627D" w14:textId="77777777" w:rsidTr="00DB60E5">
        <w:trPr>
          <w:trHeight w:val="298"/>
          <w:jc w:val="center"/>
        </w:trPr>
        <w:tc>
          <w:tcPr>
            <w:tcW w:w="983" w:type="dxa"/>
            <w:tcBorders>
              <w:top w:val="single" w:sz="4" w:space="0" w:color="auto"/>
              <w:left w:val="single" w:sz="4" w:space="0" w:color="auto"/>
              <w:bottom w:val="nil"/>
              <w:right w:val="single" w:sz="4" w:space="0" w:color="FFFFFF"/>
            </w:tcBorders>
            <w:shd w:val="clear" w:color="000000" w:fill="132577"/>
            <w:noWrap/>
            <w:vAlign w:val="bottom"/>
            <w:hideMark/>
          </w:tcPr>
          <w:p w14:paraId="4117C6CC" w14:textId="77777777" w:rsidR="00CD7CF9" w:rsidRPr="00CD7CF9" w:rsidRDefault="00CD7CF9" w:rsidP="00CD7CF9">
            <w:pPr>
              <w:rPr>
                <w:rFonts w:cs="Calibri"/>
                <w:color w:val="FFFFFF"/>
                <w:sz w:val="22"/>
                <w:szCs w:val="22"/>
              </w:rPr>
            </w:pPr>
            <w:r w:rsidRPr="00CD7CF9">
              <w:rPr>
                <w:rFonts w:cs="Calibri"/>
                <w:color w:val="FFFFFF"/>
                <w:sz w:val="22"/>
                <w:szCs w:val="22"/>
              </w:rPr>
              <w:t> </w:t>
            </w:r>
          </w:p>
        </w:tc>
        <w:tc>
          <w:tcPr>
            <w:tcW w:w="971" w:type="dxa"/>
            <w:tcBorders>
              <w:top w:val="single" w:sz="4" w:space="0" w:color="auto"/>
              <w:left w:val="nil"/>
              <w:bottom w:val="nil"/>
              <w:right w:val="single" w:sz="4" w:space="0" w:color="FFFFFF"/>
            </w:tcBorders>
            <w:shd w:val="clear" w:color="000000" w:fill="132577"/>
            <w:noWrap/>
            <w:vAlign w:val="bottom"/>
            <w:hideMark/>
          </w:tcPr>
          <w:p w14:paraId="48326A22" w14:textId="77777777" w:rsidR="00CD7CF9" w:rsidRPr="00CD7CF9" w:rsidRDefault="00CD7CF9" w:rsidP="00CD7CF9">
            <w:pPr>
              <w:rPr>
                <w:rFonts w:cs="Calibri"/>
                <w:color w:val="FFFFFF"/>
                <w:sz w:val="22"/>
                <w:szCs w:val="22"/>
              </w:rPr>
            </w:pPr>
            <w:r w:rsidRPr="00CD7CF9">
              <w:rPr>
                <w:rFonts w:cs="Calibri"/>
                <w:color w:val="FFFFFF"/>
                <w:sz w:val="22"/>
                <w:szCs w:val="22"/>
              </w:rPr>
              <w:t> </w:t>
            </w:r>
          </w:p>
        </w:tc>
        <w:tc>
          <w:tcPr>
            <w:tcW w:w="1152" w:type="dxa"/>
            <w:tcBorders>
              <w:top w:val="single" w:sz="4" w:space="0" w:color="auto"/>
              <w:left w:val="nil"/>
              <w:bottom w:val="nil"/>
              <w:right w:val="nil"/>
            </w:tcBorders>
            <w:shd w:val="clear" w:color="000000" w:fill="132577"/>
            <w:noWrap/>
            <w:vAlign w:val="bottom"/>
            <w:hideMark/>
          </w:tcPr>
          <w:p w14:paraId="511E7504" w14:textId="77777777" w:rsidR="00CD7CF9" w:rsidRPr="00CD7CF9" w:rsidRDefault="00CD7CF9" w:rsidP="00CD7CF9">
            <w:pPr>
              <w:rPr>
                <w:rFonts w:cs="Calibri"/>
                <w:color w:val="FFFFFF"/>
                <w:sz w:val="22"/>
                <w:szCs w:val="22"/>
              </w:rPr>
            </w:pPr>
            <w:r w:rsidRPr="00CD7CF9">
              <w:rPr>
                <w:rFonts w:cs="Calibri"/>
                <w:color w:val="FFFFFF"/>
                <w:sz w:val="22"/>
                <w:szCs w:val="22"/>
              </w:rPr>
              <w:t> </w:t>
            </w:r>
          </w:p>
        </w:tc>
        <w:tc>
          <w:tcPr>
            <w:tcW w:w="2175" w:type="dxa"/>
            <w:gridSpan w:val="2"/>
            <w:tcBorders>
              <w:top w:val="single" w:sz="4" w:space="0" w:color="auto"/>
              <w:left w:val="single" w:sz="4" w:space="0" w:color="FFFFFF"/>
              <w:bottom w:val="single" w:sz="4" w:space="0" w:color="FFFFFF"/>
              <w:right w:val="single" w:sz="4" w:space="0" w:color="FFFFFF"/>
            </w:tcBorders>
            <w:shd w:val="clear" w:color="000000" w:fill="132577"/>
            <w:noWrap/>
            <w:vAlign w:val="bottom"/>
            <w:hideMark/>
          </w:tcPr>
          <w:p w14:paraId="187BEC0E" w14:textId="77777777" w:rsidR="00CD7CF9" w:rsidRPr="00CD7CF9" w:rsidRDefault="00CD7CF9" w:rsidP="00CD7CF9">
            <w:pPr>
              <w:jc w:val="center"/>
              <w:rPr>
                <w:rFonts w:cs="Calibri"/>
                <w:b/>
                <w:bCs/>
                <w:color w:val="FFFFFF"/>
                <w:sz w:val="22"/>
                <w:szCs w:val="22"/>
              </w:rPr>
            </w:pPr>
            <w:r w:rsidRPr="00CD7CF9">
              <w:rPr>
                <w:rFonts w:cs="Calibri"/>
                <w:b/>
                <w:bCs/>
                <w:color w:val="FFFFFF"/>
                <w:sz w:val="22"/>
                <w:szCs w:val="22"/>
              </w:rPr>
              <w:t>Aggregate</w:t>
            </w:r>
          </w:p>
        </w:tc>
        <w:tc>
          <w:tcPr>
            <w:tcW w:w="1922" w:type="dxa"/>
            <w:gridSpan w:val="2"/>
            <w:tcBorders>
              <w:top w:val="single" w:sz="4" w:space="0" w:color="auto"/>
              <w:left w:val="nil"/>
              <w:bottom w:val="single" w:sz="4" w:space="0" w:color="FFFFFF"/>
              <w:right w:val="single" w:sz="4" w:space="0" w:color="FFFFFF"/>
            </w:tcBorders>
            <w:shd w:val="clear" w:color="000000" w:fill="132577"/>
            <w:noWrap/>
            <w:vAlign w:val="bottom"/>
            <w:hideMark/>
          </w:tcPr>
          <w:p w14:paraId="651B8124" w14:textId="77777777" w:rsidR="00CD7CF9" w:rsidRPr="00CD7CF9" w:rsidRDefault="00CD7CF9" w:rsidP="00CD7CF9">
            <w:pPr>
              <w:jc w:val="center"/>
              <w:rPr>
                <w:rFonts w:cs="Calibri"/>
                <w:b/>
                <w:bCs/>
                <w:color w:val="FFFFFF"/>
                <w:sz w:val="22"/>
                <w:szCs w:val="22"/>
              </w:rPr>
            </w:pPr>
            <w:r w:rsidRPr="00CD7CF9">
              <w:rPr>
                <w:rFonts w:cs="Calibri"/>
                <w:b/>
                <w:bCs/>
                <w:color w:val="FFFFFF"/>
                <w:sz w:val="22"/>
                <w:szCs w:val="22"/>
              </w:rPr>
              <w:t>Per-Customer</w:t>
            </w:r>
          </w:p>
        </w:tc>
        <w:tc>
          <w:tcPr>
            <w:tcW w:w="970" w:type="dxa"/>
            <w:tcBorders>
              <w:top w:val="single" w:sz="4" w:space="0" w:color="auto"/>
              <w:left w:val="nil"/>
              <w:bottom w:val="nil"/>
              <w:right w:val="single" w:sz="4" w:space="0" w:color="FFFFFF"/>
            </w:tcBorders>
            <w:shd w:val="clear" w:color="000000" w:fill="132577"/>
            <w:noWrap/>
            <w:vAlign w:val="bottom"/>
            <w:hideMark/>
          </w:tcPr>
          <w:p w14:paraId="6B363AC9" w14:textId="77777777" w:rsidR="00CD7CF9" w:rsidRPr="00CD7CF9" w:rsidRDefault="00CD7CF9" w:rsidP="00CD7CF9">
            <w:pPr>
              <w:rPr>
                <w:rFonts w:cs="Calibri"/>
                <w:color w:val="FFFFFF"/>
                <w:sz w:val="22"/>
                <w:szCs w:val="22"/>
              </w:rPr>
            </w:pPr>
            <w:r w:rsidRPr="00CD7CF9">
              <w:rPr>
                <w:rFonts w:cs="Calibri"/>
                <w:color w:val="FFFFFF"/>
                <w:sz w:val="22"/>
                <w:szCs w:val="22"/>
              </w:rPr>
              <w:t> </w:t>
            </w:r>
          </w:p>
        </w:tc>
        <w:tc>
          <w:tcPr>
            <w:tcW w:w="970" w:type="dxa"/>
            <w:tcBorders>
              <w:top w:val="single" w:sz="4" w:space="0" w:color="auto"/>
              <w:left w:val="nil"/>
              <w:bottom w:val="nil"/>
              <w:right w:val="single" w:sz="4" w:space="0" w:color="auto"/>
            </w:tcBorders>
            <w:shd w:val="clear" w:color="000000" w:fill="132577"/>
            <w:noWrap/>
            <w:vAlign w:val="bottom"/>
            <w:hideMark/>
          </w:tcPr>
          <w:p w14:paraId="1A7A22C3" w14:textId="77777777" w:rsidR="00CD7CF9" w:rsidRPr="00CD7CF9" w:rsidRDefault="00CD7CF9" w:rsidP="00CD7CF9">
            <w:pPr>
              <w:rPr>
                <w:rFonts w:cs="Calibri"/>
                <w:color w:val="FFFFFF"/>
                <w:sz w:val="22"/>
                <w:szCs w:val="22"/>
              </w:rPr>
            </w:pPr>
            <w:r w:rsidRPr="00CD7CF9">
              <w:rPr>
                <w:rFonts w:cs="Calibri"/>
                <w:color w:val="FFFFFF"/>
                <w:sz w:val="22"/>
                <w:szCs w:val="22"/>
              </w:rPr>
              <w:t> </w:t>
            </w:r>
          </w:p>
        </w:tc>
      </w:tr>
      <w:tr w:rsidR="00CD7CF9" w:rsidRPr="00CD7CF9" w14:paraId="7139ED9D" w14:textId="77777777" w:rsidTr="0010027E">
        <w:trPr>
          <w:trHeight w:val="19"/>
          <w:jc w:val="center"/>
        </w:trPr>
        <w:tc>
          <w:tcPr>
            <w:tcW w:w="983" w:type="dxa"/>
            <w:tcBorders>
              <w:top w:val="nil"/>
              <w:left w:val="single" w:sz="4" w:space="0" w:color="auto"/>
              <w:bottom w:val="single" w:sz="4" w:space="0" w:color="auto"/>
              <w:right w:val="single" w:sz="4" w:space="0" w:color="FFFFFF"/>
            </w:tcBorders>
            <w:shd w:val="clear" w:color="auto" w:fill="0C2577"/>
            <w:noWrap/>
            <w:vAlign w:val="bottom"/>
            <w:hideMark/>
          </w:tcPr>
          <w:p w14:paraId="0993327A" w14:textId="77777777" w:rsidR="00CD7CF9" w:rsidRPr="00CD7CF9" w:rsidRDefault="00CD7CF9" w:rsidP="00CD7CF9">
            <w:pPr>
              <w:jc w:val="center"/>
              <w:rPr>
                <w:rFonts w:cs="Calibri"/>
                <w:b/>
                <w:bCs/>
                <w:color w:val="FFFFFF"/>
                <w:sz w:val="22"/>
                <w:szCs w:val="22"/>
              </w:rPr>
            </w:pPr>
            <w:r w:rsidRPr="00CD7CF9">
              <w:rPr>
                <w:rFonts w:cs="Calibri"/>
                <w:b/>
                <w:bCs/>
                <w:color w:val="FFFFFF"/>
                <w:sz w:val="22"/>
                <w:szCs w:val="22"/>
              </w:rPr>
              <w:t>Season</w:t>
            </w:r>
          </w:p>
        </w:tc>
        <w:tc>
          <w:tcPr>
            <w:tcW w:w="971" w:type="dxa"/>
            <w:tcBorders>
              <w:top w:val="nil"/>
              <w:left w:val="nil"/>
              <w:bottom w:val="single" w:sz="4" w:space="0" w:color="auto"/>
              <w:right w:val="single" w:sz="4" w:space="0" w:color="FFFFFF"/>
            </w:tcBorders>
            <w:shd w:val="clear" w:color="auto" w:fill="0C2577"/>
            <w:vAlign w:val="bottom"/>
            <w:hideMark/>
          </w:tcPr>
          <w:p w14:paraId="6F04165C" w14:textId="77777777" w:rsidR="00CD7CF9" w:rsidRPr="00CD7CF9" w:rsidRDefault="00CD7CF9" w:rsidP="00CD7CF9">
            <w:pPr>
              <w:jc w:val="center"/>
              <w:rPr>
                <w:rFonts w:cs="Calibri"/>
                <w:b/>
                <w:bCs/>
                <w:color w:val="FFFFFF"/>
                <w:sz w:val="22"/>
                <w:szCs w:val="22"/>
              </w:rPr>
            </w:pPr>
            <w:r w:rsidRPr="00CD7CF9">
              <w:rPr>
                <w:rFonts w:cs="Calibri"/>
                <w:b/>
                <w:bCs/>
                <w:color w:val="FFFFFF"/>
                <w:sz w:val="22"/>
                <w:szCs w:val="22"/>
              </w:rPr>
              <w:t>Climate Zone</w:t>
            </w:r>
          </w:p>
        </w:tc>
        <w:tc>
          <w:tcPr>
            <w:tcW w:w="1152" w:type="dxa"/>
            <w:tcBorders>
              <w:top w:val="nil"/>
              <w:left w:val="nil"/>
              <w:bottom w:val="single" w:sz="4" w:space="0" w:color="auto"/>
              <w:right w:val="single" w:sz="4" w:space="0" w:color="FFFFFF"/>
            </w:tcBorders>
            <w:shd w:val="clear" w:color="auto" w:fill="0C2577"/>
            <w:vAlign w:val="bottom"/>
            <w:hideMark/>
          </w:tcPr>
          <w:p w14:paraId="0ADAAF6D" w14:textId="77777777" w:rsidR="00CD7CF9" w:rsidRPr="00CD7CF9" w:rsidRDefault="00CD7CF9" w:rsidP="00CD7CF9">
            <w:pPr>
              <w:jc w:val="center"/>
              <w:rPr>
                <w:rFonts w:cs="Calibri"/>
                <w:b/>
                <w:bCs/>
                <w:color w:val="FFFFFF"/>
                <w:sz w:val="22"/>
                <w:szCs w:val="22"/>
              </w:rPr>
            </w:pPr>
            <w:r w:rsidRPr="00CD7CF9">
              <w:rPr>
                <w:rFonts w:cs="Calibri"/>
                <w:b/>
                <w:bCs/>
                <w:color w:val="FFFFFF"/>
                <w:sz w:val="22"/>
                <w:szCs w:val="22"/>
              </w:rPr>
              <w:t>Enrolled (Average)</w:t>
            </w:r>
          </w:p>
        </w:tc>
        <w:tc>
          <w:tcPr>
            <w:tcW w:w="1087" w:type="dxa"/>
            <w:tcBorders>
              <w:top w:val="nil"/>
              <w:left w:val="nil"/>
              <w:bottom w:val="single" w:sz="4" w:space="0" w:color="auto"/>
              <w:right w:val="nil"/>
            </w:tcBorders>
            <w:shd w:val="clear" w:color="auto" w:fill="0C2577"/>
            <w:vAlign w:val="bottom"/>
            <w:hideMark/>
          </w:tcPr>
          <w:p w14:paraId="0288A093" w14:textId="77777777" w:rsidR="00CD7CF9" w:rsidRPr="00CD7CF9" w:rsidRDefault="00CD7CF9" w:rsidP="00CD7CF9">
            <w:pPr>
              <w:jc w:val="center"/>
              <w:rPr>
                <w:rFonts w:cs="Calibri"/>
                <w:b/>
                <w:bCs/>
                <w:color w:val="FFFFFF"/>
                <w:sz w:val="22"/>
                <w:szCs w:val="22"/>
              </w:rPr>
            </w:pPr>
            <w:r w:rsidRPr="00CD7CF9">
              <w:rPr>
                <w:rFonts w:cs="Calibri"/>
                <w:b/>
                <w:bCs/>
                <w:color w:val="FFFFFF"/>
                <w:sz w:val="22"/>
                <w:szCs w:val="22"/>
              </w:rPr>
              <w:t>Peak Ref. Load (MWh/h)</w:t>
            </w:r>
          </w:p>
        </w:tc>
        <w:tc>
          <w:tcPr>
            <w:tcW w:w="1087" w:type="dxa"/>
            <w:tcBorders>
              <w:top w:val="nil"/>
              <w:left w:val="single" w:sz="4" w:space="0" w:color="FFFFFF"/>
              <w:bottom w:val="single" w:sz="4" w:space="0" w:color="auto"/>
              <w:right w:val="single" w:sz="4" w:space="0" w:color="FFFFFF"/>
            </w:tcBorders>
            <w:shd w:val="clear" w:color="auto" w:fill="0C2577"/>
            <w:vAlign w:val="bottom"/>
            <w:hideMark/>
          </w:tcPr>
          <w:p w14:paraId="4E84CED0" w14:textId="77777777" w:rsidR="00CD7CF9" w:rsidRPr="00CD7CF9" w:rsidRDefault="00CD7CF9" w:rsidP="00CD7CF9">
            <w:pPr>
              <w:jc w:val="center"/>
              <w:rPr>
                <w:rFonts w:cs="Calibri"/>
                <w:b/>
                <w:bCs/>
                <w:color w:val="FFFFFF"/>
                <w:sz w:val="22"/>
                <w:szCs w:val="22"/>
              </w:rPr>
            </w:pPr>
            <w:r w:rsidRPr="00CD7CF9">
              <w:rPr>
                <w:rFonts w:cs="Calibri"/>
                <w:b/>
                <w:bCs/>
                <w:color w:val="FFFFFF"/>
                <w:sz w:val="22"/>
                <w:szCs w:val="22"/>
              </w:rPr>
              <w:t>Peak Load Impact (MWh/h)</w:t>
            </w:r>
          </w:p>
        </w:tc>
        <w:tc>
          <w:tcPr>
            <w:tcW w:w="951" w:type="dxa"/>
            <w:tcBorders>
              <w:top w:val="nil"/>
              <w:left w:val="nil"/>
              <w:bottom w:val="single" w:sz="4" w:space="0" w:color="auto"/>
              <w:right w:val="nil"/>
            </w:tcBorders>
            <w:shd w:val="clear" w:color="auto" w:fill="0C2577"/>
            <w:vAlign w:val="bottom"/>
            <w:hideMark/>
          </w:tcPr>
          <w:p w14:paraId="57FEF03C" w14:textId="0B7AC643" w:rsidR="00CD7CF9" w:rsidRPr="00CD7CF9" w:rsidRDefault="00CD7CF9" w:rsidP="00CD7CF9">
            <w:pPr>
              <w:jc w:val="center"/>
              <w:rPr>
                <w:rFonts w:cs="Calibri"/>
                <w:b/>
                <w:bCs/>
                <w:color w:val="FFFFFF"/>
                <w:sz w:val="22"/>
                <w:szCs w:val="22"/>
              </w:rPr>
            </w:pPr>
            <w:r w:rsidRPr="00CD7CF9">
              <w:rPr>
                <w:rFonts w:cs="Calibri"/>
                <w:b/>
                <w:bCs/>
                <w:color w:val="FFFFFF"/>
                <w:sz w:val="22"/>
                <w:szCs w:val="22"/>
              </w:rPr>
              <w:t>Peak Ref. Load (kW</w:t>
            </w:r>
            <w:r w:rsidR="009E5557">
              <w:rPr>
                <w:rFonts w:cs="Calibri"/>
                <w:b/>
                <w:bCs/>
                <w:color w:val="FFFFFF"/>
                <w:sz w:val="22"/>
                <w:szCs w:val="22"/>
              </w:rPr>
              <w:t>h/h</w:t>
            </w:r>
            <w:r w:rsidRPr="00CD7CF9">
              <w:rPr>
                <w:rFonts w:cs="Calibri"/>
                <w:b/>
                <w:bCs/>
                <w:color w:val="FFFFFF"/>
                <w:sz w:val="22"/>
                <w:szCs w:val="22"/>
              </w:rPr>
              <w:t>)</w:t>
            </w:r>
          </w:p>
        </w:tc>
        <w:tc>
          <w:tcPr>
            <w:tcW w:w="970" w:type="dxa"/>
            <w:tcBorders>
              <w:top w:val="nil"/>
              <w:left w:val="single" w:sz="4" w:space="0" w:color="FFFFFF"/>
              <w:bottom w:val="single" w:sz="4" w:space="0" w:color="auto"/>
              <w:right w:val="single" w:sz="4" w:space="0" w:color="FFFFFF"/>
            </w:tcBorders>
            <w:shd w:val="clear" w:color="auto" w:fill="0C2577"/>
            <w:vAlign w:val="bottom"/>
            <w:hideMark/>
          </w:tcPr>
          <w:p w14:paraId="6A530323" w14:textId="633F87F3" w:rsidR="00CD7CF9" w:rsidRPr="00CD7CF9" w:rsidRDefault="00CD7CF9" w:rsidP="00CD7CF9">
            <w:pPr>
              <w:jc w:val="center"/>
              <w:rPr>
                <w:rFonts w:cs="Calibri"/>
                <w:b/>
                <w:bCs/>
                <w:color w:val="FFFFFF"/>
                <w:sz w:val="22"/>
                <w:szCs w:val="22"/>
              </w:rPr>
            </w:pPr>
            <w:r w:rsidRPr="00CD7CF9">
              <w:rPr>
                <w:rFonts w:cs="Calibri"/>
                <w:b/>
                <w:bCs/>
                <w:color w:val="FFFFFF"/>
                <w:sz w:val="22"/>
                <w:szCs w:val="22"/>
              </w:rPr>
              <w:t>Peak Load Impact (kW</w:t>
            </w:r>
            <w:r w:rsidR="009E5557">
              <w:rPr>
                <w:rFonts w:cs="Calibri"/>
                <w:b/>
                <w:bCs/>
                <w:color w:val="FFFFFF"/>
                <w:sz w:val="22"/>
                <w:szCs w:val="22"/>
              </w:rPr>
              <w:t>h/h</w:t>
            </w:r>
            <w:r w:rsidRPr="00CD7CF9">
              <w:rPr>
                <w:rFonts w:cs="Calibri"/>
                <w:b/>
                <w:bCs/>
                <w:color w:val="FFFFFF"/>
                <w:sz w:val="22"/>
                <w:szCs w:val="22"/>
              </w:rPr>
              <w:t>)</w:t>
            </w:r>
          </w:p>
        </w:tc>
        <w:tc>
          <w:tcPr>
            <w:tcW w:w="970" w:type="dxa"/>
            <w:tcBorders>
              <w:top w:val="nil"/>
              <w:left w:val="nil"/>
              <w:bottom w:val="single" w:sz="4" w:space="0" w:color="auto"/>
              <w:right w:val="single" w:sz="4" w:space="0" w:color="FFFFFF"/>
            </w:tcBorders>
            <w:shd w:val="clear" w:color="auto" w:fill="0C2577"/>
            <w:vAlign w:val="bottom"/>
            <w:hideMark/>
          </w:tcPr>
          <w:p w14:paraId="0DAC51A6" w14:textId="77777777" w:rsidR="00CD7CF9" w:rsidRPr="00CD7CF9" w:rsidRDefault="00CD7CF9" w:rsidP="00CD7CF9">
            <w:pPr>
              <w:jc w:val="center"/>
              <w:rPr>
                <w:rFonts w:cs="Calibri"/>
                <w:b/>
                <w:bCs/>
                <w:color w:val="FFFFFF"/>
                <w:sz w:val="22"/>
                <w:szCs w:val="22"/>
              </w:rPr>
            </w:pPr>
            <w:r w:rsidRPr="00CD7CF9">
              <w:rPr>
                <w:rFonts w:cs="Calibri"/>
                <w:b/>
                <w:bCs/>
                <w:color w:val="FFFFFF"/>
                <w:sz w:val="22"/>
                <w:szCs w:val="22"/>
              </w:rPr>
              <w:t>% Peak Load Impact</w:t>
            </w:r>
          </w:p>
        </w:tc>
        <w:tc>
          <w:tcPr>
            <w:tcW w:w="970" w:type="dxa"/>
            <w:tcBorders>
              <w:top w:val="nil"/>
              <w:left w:val="nil"/>
              <w:bottom w:val="single" w:sz="4" w:space="0" w:color="auto"/>
              <w:right w:val="single" w:sz="4" w:space="0" w:color="auto"/>
            </w:tcBorders>
            <w:shd w:val="clear" w:color="auto" w:fill="0C2577"/>
            <w:vAlign w:val="bottom"/>
            <w:hideMark/>
          </w:tcPr>
          <w:p w14:paraId="26C5116B" w14:textId="77777777" w:rsidR="00CD7CF9" w:rsidRPr="00CD7CF9" w:rsidRDefault="00CD7CF9" w:rsidP="00CD7CF9">
            <w:pPr>
              <w:jc w:val="center"/>
              <w:rPr>
                <w:rFonts w:cs="Calibri"/>
                <w:b/>
                <w:bCs/>
                <w:color w:val="FFFFFF"/>
                <w:sz w:val="22"/>
                <w:szCs w:val="22"/>
              </w:rPr>
            </w:pPr>
            <w:r w:rsidRPr="00CD7CF9">
              <w:rPr>
                <w:rFonts w:cs="Calibri"/>
                <w:b/>
                <w:bCs/>
                <w:color w:val="FFFFFF"/>
                <w:sz w:val="22"/>
                <w:szCs w:val="22"/>
              </w:rPr>
              <w:t>Ave. Peak Temp.</w:t>
            </w:r>
          </w:p>
        </w:tc>
      </w:tr>
      <w:tr w:rsidR="00CD7CF9" w:rsidRPr="00CD7CF9" w14:paraId="448A125C" w14:textId="77777777" w:rsidTr="00DB60E5">
        <w:trPr>
          <w:trHeight w:val="19"/>
          <w:jc w:val="center"/>
        </w:trPr>
        <w:tc>
          <w:tcPr>
            <w:tcW w:w="983" w:type="dxa"/>
            <w:vMerge w:val="restart"/>
            <w:tcBorders>
              <w:top w:val="nil"/>
              <w:left w:val="single" w:sz="4" w:space="0" w:color="auto"/>
              <w:bottom w:val="double" w:sz="6" w:space="0" w:color="000000"/>
              <w:right w:val="nil"/>
            </w:tcBorders>
            <w:shd w:val="clear" w:color="auto" w:fill="auto"/>
            <w:vAlign w:val="center"/>
            <w:hideMark/>
          </w:tcPr>
          <w:p w14:paraId="565DA5A2" w14:textId="77777777" w:rsidR="00CD7CF9" w:rsidRPr="00CD7CF9" w:rsidRDefault="00CD7CF9" w:rsidP="00CD7CF9">
            <w:pPr>
              <w:jc w:val="center"/>
              <w:rPr>
                <w:rFonts w:cs="Calibri"/>
                <w:sz w:val="22"/>
                <w:szCs w:val="22"/>
              </w:rPr>
            </w:pPr>
            <w:r w:rsidRPr="00CD7CF9">
              <w:rPr>
                <w:rFonts w:cs="Calibri"/>
                <w:sz w:val="22"/>
                <w:szCs w:val="22"/>
              </w:rPr>
              <w:t>Summer</w:t>
            </w:r>
          </w:p>
        </w:tc>
        <w:tc>
          <w:tcPr>
            <w:tcW w:w="971" w:type="dxa"/>
            <w:tcBorders>
              <w:top w:val="nil"/>
              <w:left w:val="single" w:sz="4" w:space="0" w:color="auto"/>
              <w:bottom w:val="nil"/>
              <w:right w:val="single" w:sz="4" w:space="0" w:color="auto"/>
            </w:tcBorders>
            <w:shd w:val="clear" w:color="000000" w:fill="FFFFFF"/>
            <w:noWrap/>
            <w:vAlign w:val="bottom"/>
            <w:hideMark/>
          </w:tcPr>
          <w:p w14:paraId="61A80C98" w14:textId="77777777" w:rsidR="00CD7CF9" w:rsidRPr="00CD7CF9" w:rsidRDefault="00CD7CF9" w:rsidP="00CD7CF9">
            <w:pPr>
              <w:jc w:val="center"/>
              <w:rPr>
                <w:rFonts w:cs="Calibri"/>
                <w:sz w:val="22"/>
                <w:szCs w:val="22"/>
              </w:rPr>
            </w:pPr>
            <w:r w:rsidRPr="00CD7CF9">
              <w:rPr>
                <w:rFonts w:cs="Calibri"/>
                <w:sz w:val="22"/>
                <w:szCs w:val="22"/>
              </w:rPr>
              <w:t>Coastal</w:t>
            </w:r>
          </w:p>
        </w:tc>
        <w:tc>
          <w:tcPr>
            <w:tcW w:w="1152" w:type="dxa"/>
            <w:tcBorders>
              <w:top w:val="nil"/>
              <w:left w:val="nil"/>
              <w:bottom w:val="nil"/>
              <w:right w:val="single" w:sz="4" w:space="0" w:color="auto"/>
            </w:tcBorders>
            <w:shd w:val="clear" w:color="000000" w:fill="FFFFFF"/>
            <w:noWrap/>
            <w:vAlign w:val="bottom"/>
            <w:hideMark/>
          </w:tcPr>
          <w:p w14:paraId="06F80DC5" w14:textId="77777777" w:rsidR="00CD7CF9" w:rsidRPr="00CD7CF9" w:rsidRDefault="00CD7CF9" w:rsidP="00CD7CF9">
            <w:pPr>
              <w:jc w:val="center"/>
              <w:rPr>
                <w:rFonts w:cs="Calibri"/>
                <w:sz w:val="22"/>
                <w:szCs w:val="22"/>
              </w:rPr>
            </w:pPr>
            <w:r w:rsidRPr="00CD7CF9">
              <w:rPr>
                <w:rFonts w:cs="Calibri"/>
                <w:sz w:val="22"/>
                <w:szCs w:val="22"/>
              </w:rPr>
              <w:t>2,701</w:t>
            </w:r>
          </w:p>
        </w:tc>
        <w:tc>
          <w:tcPr>
            <w:tcW w:w="1087" w:type="dxa"/>
            <w:tcBorders>
              <w:top w:val="nil"/>
              <w:left w:val="nil"/>
              <w:bottom w:val="nil"/>
              <w:right w:val="single" w:sz="4" w:space="0" w:color="auto"/>
            </w:tcBorders>
            <w:shd w:val="clear" w:color="000000" w:fill="FFFFFF"/>
            <w:noWrap/>
            <w:vAlign w:val="bottom"/>
            <w:hideMark/>
          </w:tcPr>
          <w:p w14:paraId="7534FD47" w14:textId="77777777" w:rsidR="00CD7CF9" w:rsidRPr="00CD7CF9" w:rsidRDefault="00CD7CF9" w:rsidP="00CD7CF9">
            <w:pPr>
              <w:jc w:val="center"/>
              <w:rPr>
                <w:rFonts w:cs="Calibri"/>
                <w:sz w:val="22"/>
                <w:szCs w:val="22"/>
              </w:rPr>
            </w:pPr>
            <w:r w:rsidRPr="00CD7CF9">
              <w:rPr>
                <w:rFonts w:cs="Calibri"/>
                <w:sz w:val="22"/>
                <w:szCs w:val="22"/>
              </w:rPr>
              <w:t>2.22</w:t>
            </w:r>
          </w:p>
        </w:tc>
        <w:tc>
          <w:tcPr>
            <w:tcW w:w="1087" w:type="dxa"/>
            <w:tcBorders>
              <w:top w:val="nil"/>
              <w:left w:val="nil"/>
              <w:bottom w:val="nil"/>
              <w:right w:val="single" w:sz="4" w:space="0" w:color="auto"/>
            </w:tcBorders>
            <w:shd w:val="clear" w:color="000000" w:fill="FFFFFF"/>
            <w:noWrap/>
            <w:vAlign w:val="bottom"/>
            <w:hideMark/>
          </w:tcPr>
          <w:p w14:paraId="0CE58E46" w14:textId="77777777" w:rsidR="00CD7CF9" w:rsidRPr="00CD7CF9" w:rsidRDefault="00CD7CF9" w:rsidP="00CD7CF9">
            <w:pPr>
              <w:jc w:val="center"/>
              <w:rPr>
                <w:rFonts w:cs="Calibri"/>
                <w:sz w:val="22"/>
                <w:szCs w:val="22"/>
              </w:rPr>
            </w:pPr>
            <w:r w:rsidRPr="00CD7CF9">
              <w:rPr>
                <w:rFonts w:cs="Calibri"/>
                <w:sz w:val="22"/>
                <w:szCs w:val="22"/>
              </w:rPr>
              <w:t>0.14</w:t>
            </w:r>
          </w:p>
        </w:tc>
        <w:tc>
          <w:tcPr>
            <w:tcW w:w="951" w:type="dxa"/>
            <w:tcBorders>
              <w:top w:val="nil"/>
              <w:left w:val="nil"/>
              <w:bottom w:val="nil"/>
              <w:right w:val="single" w:sz="4" w:space="0" w:color="auto"/>
            </w:tcBorders>
            <w:shd w:val="clear" w:color="000000" w:fill="FFFFFF"/>
            <w:noWrap/>
            <w:vAlign w:val="bottom"/>
            <w:hideMark/>
          </w:tcPr>
          <w:p w14:paraId="5D8FC21C" w14:textId="3D58D229" w:rsidR="00CD7CF9" w:rsidRPr="00CD7CF9" w:rsidRDefault="00CD7CF9" w:rsidP="00CD7CF9">
            <w:pPr>
              <w:jc w:val="center"/>
              <w:rPr>
                <w:rFonts w:cs="Calibri"/>
                <w:sz w:val="22"/>
                <w:szCs w:val="22"/>
              </w:rPr>
            </w:pPr>
            <w:r w:rsidRPr="00CD7CF9">
              <w:rPr>
                <w:rFonts w:cs="Calibri"/>
                <w:sz w:val="22"/>
                <w:szCs w:val="22"/>
              </w:rPr>
              <w:t>0.81</w:t>
            </w:r>
          </w:p>
        </w:tc>
        <w:tc>
          <w:tcPr>
            <w:tcW w:w="970" w:type="dxa"/>
            <w:tcBorders>
              <w:top w:val="nil"/>
              <w:left w:val="nil"/>
              <w:bottom w:val="nil"/>
              <w:right w:val="single" w:sz="4" w:space="0" w:color="auto"/>
            </w:tcBorders>
            <w:shd w:val="clear" w:color="000000" w:fill="FFFFFF"/>
            <w:noWrap/>
            <w:vAlign w:val="bottom"/>
            <w:hideMark/>
          </w:tcPr>
          <w:p w14:paraId="6F168C3A" w14:textId="77777777" w:rsidR="00CD7CF9" w:rsidRPr="00CD7CF9" w:rsidRDefault="00CD7CF9" w:rsidP="00CD7CF9">
            <w:pPr>
              <w:jc w:val="center"/>
              <w:rPr>
                <w:rFonts w:cs="Calibri"/>
                <w:sz w:val="22"/>
                <w:szCs w:val="22"/>
              </w:rPr>
            </w:pPr>
            <w:r w:rsidRPr="00CD7CF9">
              <w:rPr>
                <w:rFonts w:cs="Calibri"/>
                <w:sz w:val="22"/>
                <w:szCs w:val="22"/>
              </w:rPr>
              <w:t>0.051</w:t>
            </w:r>
          </w:p>
        </w:tc>
        <w:tc>
          <w:tcPr>
            <w:tcW w:w="970" w:type="dxa"/>
            <w:tcBorders>
              <w:top w:val="nil"/>
              <w:left w:val="nil"/>
              <w:bottom w:val="nil"/>
              <w:right w:val="single" w:sz="4" w:space="0" w:color="auto"/>
            </w:tcBorders>
            <w:shd w:val="clear" w:color="000000" w:fill="FFFFFF"/>
            <w:noWrap/>
            <w:vAlign w:val="bottom"/>
            <w:hideMark/>
          </w:tcPr>
          <w:p w14:paraId="4F0E8807" w14:textId="77777777" w:rsidR="00CD7CF9" w:rsidRPr="00CD7CF9" w:rsidRDefault="00CD7CF9" w:rsidP="00CD7CF9">
            <w:pPr>
              <w:jc w:val="center"/>
              <w:rPr>
                <w:rFonts w:cs="Calibri"/>
                <w:sz w:val="22"/>
                <w:szCs w:val="22"/>
              </w:rPr>
            </w:pPr>
            <w:r w:rsidRPr="00CD7CF9">
              <w:rPr>
                <w:rFonts w:cs="Calibri"/>
                <w:sz w:val="22"/>
                <w:szCs w:val="22"/>
              </w:rPr>
              <w:t>6.3%</w:t>
            </w:r>
          </w:p>
        </w:tc>
        <w:tc>
          <w:tcPr>
            <w:tcW w:w="970" w:type="dxa"/>
            <w:tcBorders>
              <w:top w:val="nil"/>
              <w:left w:val="nil"/>
              <w:bottom w:val="nil"/>
              <w:right w:val="single" w:sz="4" w:space="0" w:color="auto"/>
            </w:tcBorders>
            <w:shd w:val="clear" w:color="000000" w:fill="FFFFFF"/>
            <w:noWrap/>
            <w:vAlign w:val="bottom"/>
            <w:hideMark/>
          </w:tcPr>
          <w:p w14:paraId="7B85513A" w14:textId="77777777" w:rsidR="00CD7CF9" w:rsidRPr="00CD7CF9" w:rsidRDefault="00CD7CF9" w:rsidP="00CD7CF9">
            <w:pPr>
              <w:jc w:val="center"/>
              <w:rPr>
                <w:rFonts w:cs="Calibri"/>
                <w:sz w:val="22"/>
                <w:szCs w:val="22"/>
              </w:rPr>
            </w:pPr>
            <w:r w:rsidRPr="00CD7CF9">
              <w:rPr>
                <w:rFonts w:cs="Calibri"/>
                <w:sz w:val="22"/>
                <w:szCs w:val="22"/>
              </w:rPr>
              <w:t>76</w:t>
            </w:r>
          </w:p>
        </w:tc>
      </w:tr>
      <w:tr w:rsidR="00CD7CF9" w:rsidRPr="00CD7CF9" w14:paraId="54D1396B" w14:textId="77777777" w:rsidTr="00DB60E5">
        <w:trPr>
          <w:trHeight w:val="19"/>
          <w:jc w:val="center"/>
        </w:trPr>
        <w:tc>
          <w:tcPr>
            <w:tcW w:w="983" w:type="dxa"/>
            <w:vMerge/>
            <w:tcBorders>
              <w:top w:val="nil"/>
              <w:left w:val="single" w:sz="4" w:space="0" w:color="auto"/>
              <w:bottom w:val="double" w:sz="6" w:space="0" w:color="000000"/>
              <w:right w:val="nil"/>
            </w:tcBorders>
            <w:vAlign w:val="center"/>
            <w:hideMark/>
          </w:tcPr>
          <w:p w14:paraId="7FEF29A9" w14:textId="77777777" w:rsidR="00CD7CF9" w:rsidRPr="00CD7CF9" w:rsidRDefault="00CD7CF9" w:rsidP="00CD7CF9">
            <w:pPr>
              <w:rPr>
                <w:rFonts w:cs="Calibri"/>
                <w:sz w:val="22"/>
                <w:szCs w:val="22"/>
              </w:rPr>
            </w:pPr>
          </w:p>
        </w:tc>
        <w:tc>
          <w:tcPr>
            <w:tcW w:w="971" w:type="dxa"/>
            <w:tcBorders>
              <w:top w:val="nil"/>
              <w:left w:val="single" w:sz="4" w:space="0" w:color="auto"/>
              <w:bottom w:val="nil"/>
              <w:right w:val="single" w:sz="4" w:space="0" w:color="auto"/>
            </w:tcBorders>
            <w:shd w:val="clear" w:color="000000" w:fill="FFFFFF"/>
            <w:noWrap/>
            <w:vAlign w:val="bottom"/>
            <w:hideMark/>
          </w:tcPr>
          <w:p w14:paraId="151E3B39" w14:textId="77777777" w:rsidR="00CD7CF9" w:rsidRPr="00CD7CF9" w:rsidRDefault="00CD7CF9" w:rsidP="00CD7CF9">
            <w:pPr>
              <w:jc w:val="center"/>
              <w:rPr>
                <w:rFonts w:cs="Calibri"/>
                <w:sz w:val="22"/>
                <w:szCs w:val="22"/>
              </w:rPr>
            </w:pPr>
            <w:r w:rsidRPr="00CD7CF9">
              <w:rPr>
                <w:rFonts w:cs="Calibri"/>
                <w:sz w:val="22"/>
                <w:szCs w:val="22"/>
              </w:rPr>
              <w:t>Inland</w:t>
            </w:r>
          </w:p>
        </w:tc>
        <w:tc>
          <w:tcPr>
            <w:tcW w:w="1152" w:type="dxa"/>
            <w:tcBorders>
              <w:top w:val="nil"/>
              <w:left w:val="nil"/>
              <w:bottom w:val="nil"/>
              <w:right w:val="single" w:sz="4" w:space="0" w:color="auto"/>
            </w:tcBorders>
            <w:shd w:val="clear" w:color="000000" w:fill="FFFFFF"/>
            <w:noWrap/>
            <w:vAlign w:val="bottom"/>
            <w:hideMark/>
          </w:tcPr>
          <w:p w14:paraId="43D2B2E1" w14:textId="77777777" w:rsidR="00CD7CF9" w:rsidRPr="00CD7CF9" w:rsidRDefault="00CD7CF9" w:rsidP="00CD7CF9">
            <w:pPr>
              <w:jc w:val="center"/>
              <w:rPr>
                <w:rFonts w:cs="Calibri"/>
                <w:sz w:val="22"/>
                <w:szCs w:val="22"/>
              </w:rPr>
            </w:pPr>
            <w:r w:rsidRPr="00CD7CF9">
              <w:rPr>
                <w:rFonts w:cs="Calibri"/>
                <w:sz w:val="22"/>
                <w:szCs w:val="22"/>
              </w:rPr>
              <w:t>1,948</w:t>
            </w:r>
          </w:p>
        </w:tc>
        <w:tc>
          <w:tcPr>
            <w:tcW w:w="1087" w:type="dxa"/>
            <w:tcBorders>
              <w:top w:val="nil"/>
              <w:left w:val="nil"/>
              <w:bottom w:val="nil"/>
              <w:right w:val="single" w:sz="4" w:space="0" w:color="auto"/>
            </w:tcBorders>
            <w:shd w:val="clear" w:color="000000" w:fill="FFFFFF"/>
            <w:noWrap/>
            <w:vAlign w:val="bottom"/>
            <w:hideMark/>
          </w:tcPr>
          <w:p w14:paraId="05252BEC" w14:textId="77777777" w:rsidR="00CD7CF9" w:rsidRPr="00CD7CF9" w:rsidRDefault="00CD7CF9" w:rsidP="00CD7CF9">
            <w:pPr>
              <w:jc w:val="center"/>
              <w:rPr>
                <w:rFonts w:cs="Calibri"/>
                <w:sz w:val="22"/>
                <w:szCs w:val="22"/>
              </w:rPr>
            </w:pPr>
            <w:r w:rsidRPr="00CD7CF9">
              <w:rPr>
                <w:rFonts w:cs="Calibri"/>
                <w:sz w:val="22"/>
                <w:szCs w:val="22"/>
              </w:rPr>
              <w:t>1.98</w:t>
            </w:r>
          </w:p>
        </w:tc>
        <w:tc>
          <w:tcPr>
            <w:tcW w:w="1087" w:type="dxa"/>
            <w:tcBorders>
              <w:top w:val="nil"/>
              <w:left w:val="nil"/>
              <w:bottom w:val="nil"/>
              <w:right w:val="single" w:sz="4" w:space="0" w:color="auto"/>
            </w:tcBorders>
            <w:shd w:val="clear" w:color="000000" w:fill="FFFFFF"/>
            <w:noWrap/>
            <w:vAlign w:val="bottom"/>
            <w:hideMark/>
          </w:tcPr>
          <w:p w14:paraId="7E12A977" w14:textId="77777777" w:rsidR="00CD7CF9" w:rsidRPr="00CD7CF9" w:rsidRDefault="00CD7CF9" w:rsidP="00CD7CF9">
            <w:pPr>
              <w:jc w:val="center"/>
              <w:rPr>
                <w:rFonts w:cs="Calibri"/>
                <w:sz w:val="22"/>
                <w:szCs w:val="22"/>
              </w:rPr>
            </w:pPr>
            <w:r w:rsidRPr="00CD7CF9">
              <w:rPr>
                <w:rFonts w:cs="Calibri"/>
                <w:sz w:val="22"/>
                <w:szCs w:val="22"/>
              </w:rPr>
              <w:t>0.11</w:t>
            </w:r>
          </w:p>
        </w:tc>
        <w:tc>
          <w:tcPr>
            <w:tcW w:w="951" w:type="dxa"/>
            <w:tcBorders>
              <w:top w:val="nil"/>
              <w:left w:val="nil"/>
              <w:bottom w:val="nil"/>
              <w:right w:val="single" w:sz="4" w:space="0" w:color="auto"/>
            </w:tcBorders>
            <w:shd w:val="clear" w:color="000000" w:fill="FFFFFF"/>
            <w:noWrap/>
            <w:vAlign w:val="bottom"/>
            <w:hideMark/>
          </w:tcPr>
          <w:p w14:paraId="2CFC24EE" w14:textId="3352F674" w:rsidR="00CD7CF9" w:rsidRPr="00CD7CF9" w:rsidRDefault="00CD7CF9" w:rsidP="00CD7CF9">
            <w:pPr>
              <w:jc w:val="center"/>
              <w:rPr>
                <w:rFonts w:cs="Calibri"/>
                <w:sz w:val="22"/>
                <w:szCs w:val="22"/>
              </w:rPr>
            </w:pPr>
            <w:r w:rsidRPr="00CD7CF9">
              <w:rPr>
                <w:rFonts w:cs="Calibri"/>
                <w:sz w:val="22"/>
                <w:szCs w:val="22"/>
              </w:rPr>
              <w:t>1.00</w:t>
            </w:r>
          </w:p>
        </w:tc>
        <w:tc>
          <w:tcPr>
            <w:tcW w:w="970" w:type="dxa"/>
            <w:tcBorders>
              <w:top w:val="nil"/>
              <w:left w:val="nil"/>
              <w:bottom w:val="nil"/>
              <w:right w:val="single" w:sz="4" w:space="0" w:color="auto"/>
            </w:tcBorders>
            <w:shd w:val="clear" w:color="000000" w:fill="FFFFFF"/>
            <w:noWrap/>
            <w:vAlign w:val="bottom"/>
            <w:hideMark/>
          </w:tcPr>
          <w:p w14:paraId="60218B1C" w14:textId="77777777" w:rsidR="00CD7CF9" w:rsidRPr="00CD7CF9" w:rsidRDefault="00CD7CF9" w:rsidP="00CD7CF9">
            <w:pPr>
              <w:jc w:val="center"/>
              <w:rPr>
                <w:rFonts w:cs="Calibri"/>
                <w:sz w:val="22"/>
                <w:szCs w:val="22"/>
              </w:rPr>
            </w:pPr>
            <w:r w:rsidRPr="00CD7CF9">
              <w:rPr>
                <w:rFonts w:cs="Calibri"/>
                <w:sz w:val="22"/>
                <w:szCs w:val="22"/>
              </w:rPr>
              <w:t>0.055</w:t>
            </w:r>
          </w:p>
        </w:tc>
        <w:tc>
          <w:tcPr>
            <w:tcW w:w="970" w:type="dxa"/>
            <w:tcBorders>
              <w:top w:val="nil"/>
              <w:left w:val="nil"/>
              <w:bottom w:val="nil"/>
              <w:right w:val="single" w:sz="4" w:space="0" w:color="auto"/>
            </w:tcBorders>
            <w:shd w:val="clear" w:color="000000" w:fill="FFFFFF"/>
            <w:noWrap/>
            <w:vAlign w:val="bottom"/>
            <w:hideMark/>
          </w:tcPr>
          <w:p w14:paraId="01E2AA69" w14:textId="77777777" w:rsidR="00CD7CF9" w:rsidRPr="00CD7CF9" w:rsidRDefault="00CD7CF9" w:rsidP="00CD7CF9">
            <w:pPr>
              <w:jc w:val="center"/>
              <w:rPr>
                <w:rFonts w:cs="Calibri"/>
                <w:sz w:val="22"/>
                <w:szCs w:val="22"/>
              </w:rPr>
            </w:pPr>
            <w:r w:rsidRPr="00CD7CF9">
              <w:rPr>
                <w:rFonts w:cs="Calibri"/>
                <w:sz w:val="22"/>
                <w:szCs w:val="22"/>
              </w:rPr>
              <w:t>5.5%</w:t>
            </w:r>
          </w:p>
        </w:tc>
        <w:tc>
          <w:tcPr>
            <w:tcW w:w="970" w:type="dxa"/>
            <w:tcBorders>
              <w:top w:val="nil"/>
              <w:left w:val="nil"/>
              <w:bottom w:val="nil"/>
              <w:right w:val="single" w:sz="4" w:space="0" w:color="auto"/>
            </w:tcBorders>
            <w:shd w:val="clear" w:color="000000" w:fill="FFFFFF"/>
            <w:noWrap/>
            <w:vAlign w:val="bottom"/>
            <w:hideMark/>
          </w:tcPr>
          <w:p w14:paraId="6FB02D92" w14:textId="77777777" w:rsidR="00CD7CF9" w:rsidRPr="00CD7CF9" w:rsidRDefault="00CD7CF9" w:rsidP="00CD7CF9">
            <w:pPr>
              <w:jc w:val="center"/>
              <w:rPr>
                <w:rFonts w:cs="Calibri"/>
                <w:sz w:val="22"/>
                <w:szCs w:val="22"/>
              </w:rPr>
            </w:pPr>
            <w:r w:rsidRPr="00CD7CF9">
              <w:rPr>
                <w:rFonts w:cs="Calibri"/>
                <w:sz w:val="22"/>
                <w:szCs w:val="22"/>
              </w:rPr>
              <w:t>78</w:t>
            </w:r>
          </w:p>
        </w:tc>
      </w:tr>
      <w:tr w:rsidR="00CD7CF9" w:rsidRPr="00CD7CF9" w14:paraId="398A68D7" w14:textId="77777777" w:rsidTr="00DB60E5">
        <w:trPr>
          <w:trHeight w:val="19"/>
          <w:jc w:val="center"/>
        </w:trPr>
        <w:tc>
          <w:tcPr>
            <w:tcW w:w="983" w:type="dxa"/>
            <w:vMerge/>
            <w:tcBorders>
              <w:top w:val="nil"/>
              <w:left w:val="single" w:sz="4" w:space="0" w:color="auto"/>
              <w:bottom w:val="double" w:sz="6" w:space="0" w:color="000000"/>
              <w:right w:val="nil"/>
            </w:tcBorders>
            <w:vAlign w:val="center"/>
            <w:hideMark/>
          </w:tcPr>
          <w:p w14:paraId="7994A6B1" w14:textId="77777777" w:rsidR="00CD7CF9" w:rsidRPr="00CD7CF9" w:rsidRDefault="00CD7CF9" w:rsidP="00CD7CF9">
            <w:pPr>
              <w:rPr>
                <w:rFonts w:cs="Calibri"/>
                <w:sz w:val="22"/>
                <w:szCs w:val="22"/>
              </w:rPr>
            </w:pPr>
          </w:p>
        </w:tc>
        <w:tc>
          <w:tcPr>
            <w:tcW w:w="971" w:type="dxa"/>
            <w:tcBorders>
              <w:top w:val="nil"/>
              <w:left w:val="single" w:sz="4" w:space="0" w:color="auto"/>
              <w:bottom w:val="double" w:sz="6" w:space="0" w:color="auto"/>
              <w:right w:val="single" w:sz="4" w:space="0" w:color="auto"/>
            </w:tcBorders>
            <w:shd w:val="clear" w:color="000000" w:fill="FFFFFF"/>
            <w:noWrap/>
            <w:vAlign w:val="bottom"/>
            <w:hideMark/>
          </w:tcPr>
          <w:p w14:paraId="56CBD8EC" w14:textId="77777777" w:rsidR="00CD7CF9" w:rsidRPr="00237521" w:rsidRDefault="00CD7CF9" w:rsidP="00CD7CF9">
            <w:pPr>
              <w:jc w:val="center"/>
              <w:rPr>
                <w:rFonts w:cs="Calibri"/>
                <w:b/>
                <w:sz w:val="22"/>
                <w:szCs w:val="22"/>
              </w:rPr>
            </w:pPr>
            <w:r w:rsidRPr="00237521">
              <w:rPr>
                <w:rFonts w:cs="Calibri"/>
                <w:b/>
                <w:sz w:val="22"/>
                <w:szCs w:val="22"/>
              </w:rPr>
              <w:t>All</w:t>
            </w:r>
          </w:p>
        </w:tc>
        <w:tc>
          <w:tcPr>
            <w:tcW w:w="1152" w:type="dxa"/>
            <w:tcBorders>
              <w:top w:val="nil"/>
              <w:left w:val="nil"/>
              <w:bottom w:val="double" w:sz="6" w:space="0" w:color="auto"/>
              <w:right w:val="single" w:sz="4" w:space="0" w:color="auto"/>
            </w:tcBorders>
            <w:shd w:val="clear" w:color="000000" w:fill="FFFFFF"/>
            <w:noWrap/>
            <w:vAlign w:val="bottom"/>
            <w:hideMark/>
          </w:tcPr>
          <w:p w14:paraId="654DC30E" w14:textId="77777777" w:rsidR="00CD7CF9" w:rsidRPr="00237521" w:rsidRDefault="00CD7CF9" w:rsidP="00CD7CF9">
            <w:pPr>
              <w:jc w:val="center"/>
              <w:rPr>
                <w:rFonts w:cs="Calibri"/>
                <w:b/>
                <w:sz w:val="22"/>
                <w:szCs w:val="22"/>
              </w:rPr>
            </w:pPr>
            <w:r w:rsidRPr="00237521">
              <w:rPr>
                <w:rFonts w:cs="Calibri"/>
                <w:b/>
                <w:sz w:val="22"/>
                <w:szCs w:val="22"/>
              </w:rPr>
              <w:t>4,650</w:t>
            </w:r>
          </w:p>
        </w:tc>
        <w:tc>
          <w:tcPr>
            <w:tcW w:w="1087" w:type="dxa"/>
            <w:tcBorders>
              <w:top w:val="nil"/>
              <w:left w:val="nil"/>
              <w:bottom w:val="double" w:sz="6" w:space="0" w:color="auto"/>
              <w:right w:val="single" w:sz="4" w:space="0" w:color="auto"/>
            </w:tcBorders>
            <w:shd w:val="clear" w:color="000000" w:fill="FFFFFF"/>
            <w:noWrap/>
            <w:vAlign w:val="bottom"/>
            <w:hideMark/>
          </w:tcPr>
          <w:p w14:paraId="7340CA72" w14:textId="77777777" w:rsidR="00CD7CF9" w:rsidRPr="00237521" w:rsidRDefault="00CD7CF9" w:rsidP="00CD7CF9">
            <w:pPr>
              <w:jc w:val="center"/>
              <w:rPr>
                <w:rFonts w:cs="Calibri"/>
                <w:b/>
                <w:sz w:val="22"/>
                <w:szCs w:val="22"/>
              </w:rPr>
            </w:pPr>
            <w:r w:rsidRPr="00237521">
              <w:rPr>
                <w:rFonts w:cs="Calibri"/>
                <w:b/>
                <w:sz w:val="22"/>
                <w:szCs w:val="22"/>
              </w:rPr>
              <w:t>4.21</w:t>
            </w:r>
          </w:p>
        </w:tc>
        <w:tc>
          <w:tcPr>
            <w:tcW w:w="1087" w:type="dxa"/>
            <w:tcBorders>
              <w:top w:val="nil"/>
              <w:left w:val="nil"/>
              <w:bottom w:val="double" w:sz="6" w:space="0" w:color="auto"/>
              <w:right w:val="single" w:sz="4" w:space="0" w:color="auto"/>
            </w:tcBorders>
            <w:shd w:val="clear" w:color="000000" w:fill="FFFFFF"/>
            <w:noWrap/>
            <w:vAlign w:val="bottom"/>
            <w:hideMark/>
          </w:tcPr>
          <w:p w14:paraId="17A379DE" w14:textId="77777777" w:rsidR="00CD7CF9" w:rsidRPr="00237521" w:rsidRDefault="00CD7CF9" w:rsidP="00CD7CF9">
            <w:pPr>
              <w:jc w:val="center"/>
              <w:rPr>
                <w:rFonts w:cs="Calibri"/>
                <w:b/>
                <w:sz w:val="22"/>
                <w:szCs w:val="22"/>
              </w:rPr>
            </w:pPr>
            <w:r w:rsidRPr="00237521">
              <w:rPr>
                <w:rFonts w:cs="Calibri"/>
                <w:b/>
                <w:sz w:val="22"/>
                <w:szCs w:val="22"/>
              </w:rPr>
              <w:t>0.25</w:t>
            </w:r>
          </w:p>
        </w:tc>
        <w:tc>
          <w:tcPr>
            <w:tcW w:w="951" w:type="dxa"/>
            <w:tcBorders>
              <w:top w:val="nil"/>
              <w:left w:val="nil"/>
              <w:bottom w:val="double" w:sz="6" w:space="0" w:color="auto"/>
              <w:right w:val="single" w:sz="4" w:space="0" w:color="auto"/>
            </w:tcBorders>
            <w:shd w:val="clear" w:color="000000" w:fill="FFFFFF"/>
            <w:noWrap/>
            <w:vAlign w:val="bottom"/>
            <w:hideMark/>
          </w:tcPr>
          <w:p w14:paraId="7586F643" w14:textId="7A2871C2" w:rsidR="00CD7CF9" w:rsidRPr="00237521" w:rsidRDefault="00CD7CF9" w:rsidP="00CD7CF9">
            <w:pPr>
              <w:jc w:val="center"/>
              <w:rPr>
                <w:rFonts w:cs="Calibri"/>
                <w:b/>
                <w:sz w:val="22"/>
                <w:szCs w:val="22"/>
              </w:rPr>
            </w:pPr>
            <w:r w:rsidRPr="00237521">
              <w:rPr>
                <w:rFonts w:cs="Calibri"/>
                <w:b/>
                <w:sz w:val="22"/>
                <w:szCs w:val="22"/>
              </w:rPr>
              <w:t>0.89</w:t>
            </w:r>
          </w:p>
        </w:tc>
        <w:tc>
          <w:tcPr>
            <w:tcW w:w="970" w:type="dxa"/>
            <w:tcBorders>
              <w:top w:val="nil"/>
              <w:left w:val="nil"/>
              <w:bottom w:val="double" w:sz="6" w:space="0" w:color="auto"/>
              <w:right w:val="single" w:sz="4" w:space="0" w:color="auto"/>
            </w:tcBorders>
            <w:shd w:val="clear" w:color="000000" w:fill="FFFFFF"/>
            <w:noWrap/>
            <w:vAlign w:val="bottom"/>
            <w:hideMark/>
          </w:tcPr>
          <w:p w14:paraId="55A26685" w14:textId="77777777" w:rsidR="00CD7CF9" w:rsidRPr="00237521" w:rsidRDefault="00CD7CF9" w:rsidP="00CD7CF9">
            <w:pPr>
              <w:jc w:val="center"/>
              <w:rPr>
                <w:rFonts w:cs="Calibri"/>
                <w:b/>
                <w:sz w:val="22"/>
                <w:szCs w:val="22"/>
              </w:rPr>
            </w:pPr>
            <w:r w:rsidRPr="00237521">
              <w:rPr>
                <w:rFonts w:cs="Calibri"/>
                <w:b/>
                <w:sz w:val="22"/>
                <w:szCs w:val="22"/>
              </w:rPr>
              <w:t>0.053</w:t>
            </w:r>
          </w:p>
        </w:tc>
        <w:tc>
          <w:tcPr>
            <w:tcW w:w="970" w:type="dxa"/>
            <w:tcBorders>
              <w:top w:val="nil"/>
              <w:left w:val="nil"/>
              <w:bottom w:val="double" w:sz="6" w:space="0" w:color="auto"/>
              <w:right w:val="single" w:sz="4" w:space="0" w:color="auto"/>
            </w:tcBorders>
            <w:shd w:val="clear" w:color="000000" w:fill="FFFFFF"/>
            <w:noWrap/>
            <w:vAlign w:val="bottom"/>
            <w:hideMark/>
          </w:tcPr>
          <w:p w14:paraId="5243D1A9" w14:textId="77777777" w:rsidR="00CD7CF9" w:rsidRPr="00237521" w:rsidRDefault="00CD7CF9" w:rsidP="00CD7CF9">
            <w:pPr>
              <w:jc w:val="center"/>
              <w:rPr>
                <w:rFonts w:cs="Calibri"/>
                <w:b/>
                <w:sz w:val="22"/>
                <w:szCs w:val="22"/>
              </w:rPr>
            </w:pPr>
            <w:r w:rsidRPr="00237521">
              <w:rPr>
                <w:rFonts w:cs="Calibri"/>
                <w:b/>
                <w:sz w:val="22"/>
                <w:szCs w:val="22"/>
              </w:rPr>
              <w:t>5.9%</w:t>
            </w:r>
          </w:p>
        </w:tc>
        <w:tc>
          <w:tcPr>
            <w:tcW w:w="970" w:type="dxa"/>
            <w:tcBorders>
              <w:top w:val="nil"/>
              <w:left w:val="nil"/>
              <w:bottom w:val="double" w:sz="6" w:space="0" w:color="auto"/>
              <w:right w:val="single" w:sz="4" w:space="0" w:color="auto"/>
            </w:tcBorders>
            <w:shd w:val="clear" w:color="000000" w:fill="FFFFFF"/>
            <w:noWrap/>
            <w:vAlign w:val="bottom"/>
            <w:hideMark/>
          </w:tcPr>
          <w:p w14:paraId="0ECF15F7" w14:textId="77777777" w:rsidR="00CD7CF9" w:rsidRPr="00237521" w:rsidRDefault="00CD7CF9" w:rsidP="00CD7CF9">
            <w:pPr>
              <w:jc w:val="center"/>
              <w:rPr>
                <w:rFonts w:cs="Calibri"/>
                <w:b/>
                <w:sz w:val="22"/>
                <w:szCs w:val="22"/>
              </w:rPr>
            </w:pPr>
            <w:r w:rsidRPr="00237521">
              <w:rPr>
                <w:rFonts w:cs="Calibri"/>
                <w:b/>
                <w:sz w:val="22"/>
                <w:szCs w:val="22"/>
              </w:rPr>
              <w:t>77</w:t>
            </w:r>
          </w:p>
        </w:tc>
      </w:tr>
      <w:tr w:rsidR="00CD7CF9" w:rsidRPr="00CD7CF9" w14:paraId="7AB090E6" w14:textId="77777777" w:rsidTr="00DB60E5">
        <w:trPr>
          <w:trHeight w:val="19"/>
          <w:jc w:val="center"/>
        </w:trPr>
        <w:tc>
          <w:tcPr>
            <w:tcW w:w="983" w:type="dxa"/>
            <w:vMerge w:val="restart"/>
            <w:tcBorders>
              <w:top w:val="nil"/>
              <w:left w:val="single" w:sz="4" w:space="0" w:color="auto"/>
              <w:bottom w:val="single" w:sz="4" w:space="0" w:color="000000"/>
              <w:right w:val="nil"/>
            </w:tcBorders>
            <w:shd w:val="clear" w:color="auto" w:fill="auto"/>
            <w:vAlign w:val="center"/>
            <w:hideMark/>
          </w:tcPr>
          <w:p w14:paraId="0DE4DE38" w14:textId="77777777" w:rsidR="00CD7CF9" w:rsidRPr="00CD7CF9" w:rsidRDefault="00CD7CF9" w:rsidP="00CD7CF9">
            <w:pPr>
              <w:jc w:val="center"/>
              <w:rPr>
                <w:rFonts w:cs="Calibri"/>
                <w:sz w:val="22"/>
                <w:szCs w:val="22"/>
              </w:rPr>
            </w:pPr>
            <w:r w:rsidRPr="00CD7CF9">
              <w:rPr>
                <w:rFonts w:cs="Calibri"/>
                <w:sz w:val="22"/>
                <w:szCs w:val="22"/>
              </w:rPr>
              <w:t>Winter</w:t>
            </w:r>
          </w:p>
        </w:tc>
        <w:tc>
          <w:tcPr>
            <w:tcW w:w="971" w:type="dxa"/>
            <w:tcBorders>
              <w:top w:val="nil"/>
              <w:left w:val="single" w:sz="4" w:space="0" w:color="auto"/>
              <w:bottom w:val="nil"/>
              <w:right w:val="single" w:sz="4" w:space="0" w:color="auto"/>
            </w:tcBorders>
            <w:shd w:val="clear" w:color="000000" w:fill="FFFFFF"/>
            <w:noWrap/>
            <w:vAlign w:val="bottom"/>
            <w:hideMark/>
          </w:tcPr>
          <w:p w14:paraId="202DC337" w14:textId="77777777" w:rsidR="00CD7CF9" w:rsidRPr="00CD7CF9" w:rsidRDefault="00CD7CF9" w:rsidP="00CD7CF9">
            <w:pPr>
              <w:jc w:val="center"/>
              <w:rPr>
                <w:rFonts w:cs="Calibri"/>
                <w:sz w:val="22"/>
                <w:szCs w:val="22"/>
              </w:rPr>
            </w:pPr>
            <w:r w:rsidRPr="00CD7CF9">
              <w:rPr>
                <w:rFonts w:cs="Calibri"/>
                <w:sz w:val="22"/>
                <w:szCs w:val="22"/>
              </w:rPr>
              <w:t>Coastal</w:t>
            </w:r>
          </w:p>
        </w:tc>
        <w:tc>
          <w:tcPr>
            <w:tcW w:w="1152" w:type="dxa"/>
            <w:tcBorders>
              <w:top w:val="nil"/>
              <w:left w:val="nil"/>
              <w:bottom w:val="nil"/>
              <w:right w:val="single" w:sz="4" w:space="0" w:color="auto"/>
            </w:tcBorders>
            <w:shd w:val="clear" w:color="000000" w:fill="FFFFFF"/>
            <w:noWrap/>
            <w:vAlign w:val="bottom"/>
            <w:hideMark/>
          </w:tcPr>
          <w:p w14:paraId="16A6E9A7" w14:textId="77777777" w:rsidR="00CD7CF9" w:rsidRPr="00CD7CF9" w:rsidRDefault="00CD7CF9" w:rsidP="00CD7CF9">
            <w:pPr>
              <w:jc w:val="center"/>
              <w:rPr>
                <w:rFonts w:cs="Calibri"/>
                <w:sz w:val="22"/>
                <w:szCs w:val="22"/>
              </w:rPr>
            </w:pPr>
            <w:r w:rsidRPr="00CD7CF9">
              <w:rPr>
                <w:rFonts w:cs="Calibri"/>
                <w:sz w:val="22"/>
                <w:szCs w:val="22"/>
              </w:rPr>
              <w:t>1,973</w:t>
            </w:r>
          </w:p>
        </w:tc>
        <w:tc>
          <w:tcPr>
            <w:tcW w:w="1087" w:type="dxa"/>
            <w:tcBorders>
              <w:top w:val="nil"/>
              <w:left w:val="nil"/>
              <w:bottom w:val="nil"/>
              <w:right w:val="single" w:sz="4" w:space="0" w:color="auto"/>
            </w:tcBorders>
            <w:shd w:val="clear" w:color="000000" w:fill="FFFFFF"/>
            <w:noWrap/>
            <w:vAlign w:val="bottom"/>
            <w:hideMark/>
          </w:tcPr>
          <w:p w14:paraId="1C5E68E3" w14:textId="77777777" w:rsidR="00CD7CF9" w:rsidRPr="00CD7CF9" w:rsidRDefault="00CD7CF9" w:rsidP="00CD7CF9">
            <w:pPr>
              <w:jc w:val="center"/>
              <w:rPr>
                <w:rFonts w:cs="Calibri"/>
                <w:sz w:val="22"/>
                <w:szCs w:val="22"/>
              </w:rPr>
            </w:pPr>
            <w:r w:rsidRPr="00CD7CF9">
              <w:rPr>
                <w:rFonts w:cs="Calibri"/>
                <w:sz w:val="22"/>
                <w:szCs w:val="22"/>
              </w:rPr>
              <w:t>1.78</w:t>
            </w:r>
          </w:p>
        </w:tc>
        <w:tc>
          <w:tcPr>
            <w:tcW w:w="1087" w:type="dxa"/>
            <w:tcBorders>
              <w:top w:val="nil"/>
              <w:left w:val="nil"/>
              <w:bottom w:val="nil"/>
              <w:right w:val="single" w:sz="4" w:space="0" w:color="auto"/>
            </w:tcBorders>
            <w:shd w:val="clear" w:color="000000" w:fill="FFFFFF"/>
            <w:noWrap/>
            <w:vAlign w:val="bottom"/>
            <w:hideMark/>
          </w:tcPr>
          <w:p w14:paraId="6CEA8F4C" w14:textId="77777777" w:rsidR="00CD7CF9" w:rsidRPr="00CD7CF9" w:rsidRDefault="00CD7CF9" w:rsidP="00CD7CF9">
            <w:pPr>
              <w:jc w:val="center"/>
              <w:rPr>
                <w:rFonts w:cs="Calibri"/>
                <w:sz w:val="22"/>
                <w:szCs w:val="22"/>
              </w:rPr>
            </w:pPr>
            <w:r w:rsidRPr="00CD7CF9">
              <w:rPr>
                <w:rFonts w:cs="Calibri"/>
                <w:sz w:val="22"/>
                <w:szCs w:val="22"/>
              </w:rPr>
              <w:t>0.04</w:t>
            </w:r>
          </w:p>
        </w:tc>
        <w:tc>
          <w:tcPr>
            <w:tcW w:w="951" w:type="dxa"/>
            <w:tcBorders>
              <w:top w:val="nil"/>
              <w:left w:val="nil"/>
              <w:bottom w:val="nil"/>
              <w:right w:val="single" w:sz="4" w:space="0" w:color="auto"/>
            </w:tcBorders>
            <w:shd w:val="clear" w:color="000000" w:fill="FFFFFF"/>
            <w:noWrap/>
            <w:vAlign w:val="bottom"/>
            <w:hideMark/>
          </w:tcPr>
          <w:p w14:paraId="7D8857B5" w14:textId="2A567C69" w:rsidR="00CD7CF9" w:rsidRPr="00CD7CF9" w:rsidRDefault="00CD7CF9" w:rsidP="00CD7CF9">
            <w:pPr>
              <w:jc w:val="center"/>
              <w:rPr>
                <w:rFonts w:cs="Calibri"/>
                <w:sz w:val="22"/>
                <w:szCs w:val="22"/>
              </w:rPr>
            </w:pPr>
            <w:r w:rsidRPr="00CD7CF9">
              <w:rPr>
                <w:rFonts w:cs="Calibri"/>
                <w:sz w:val="22"/>
                <w:szCs w:val="22"/>
              </w:rPr>
              <w:t>0.90</w:t>
            </w:r>
          </w:p>
        </w:tc>
        <w:tc>
          <w:tcPr>
            <w:tcW w:w="970" w:type="dxa"/>
            <w:tcBorders>
              <w:top w:val="nil"/>
              <w:left w:val="nil"/>
              <w:bottom w:val="nil"/>
              <w:right w:val="single" w:sz="4" w:space="0" w:color="auto"/>
            </w:tcBorders>
            <w:shd w:val="clear" w:color="000000" w:fill="FFFFFF"/>
            <w:noWrap/>
            <w:vAlign w:val="bottom"/>
            <w:hideMark/>
          </w:tcPr>
          <w:p w14:paraId="7299B9C1" w14:textId="77777777" w:rsidR="00CD7CF9" w:rsidRPr="00CD7CF9" w:rsidRDefault="00CD7CF9" w:rsidP="00CD7CF9">
            <w:pPr>
              <w:jc w:val="center"/>
              <w:rPr>
                <w:rFonts w:cs="Calibri"/>
                <w:sz w:val="22"/>
                <w:szCs w:val="22"/>
              </w:rPr>
            </w:pPr>
            <w:r w:rsidRPr="00CD7CF9">
              <w:rPr>
                <w:rFonts w:cs="Calibri"/>
                <w:sz w:val="22"/>
                <w:szCs w:val="22"/>
              </w:rPr>
              <w:t>0.019</w:t>
            </w:r>
          </w:p>
        </w:tc>
        <w:tc>
          <w:tcPr>
            <w:tcW w:w="970" w:type="dxa"/>
            <w:tcBorders>
              <w:top w:val="nil"/>
              <w:left w:val="nil"/>
              <w:bottom w:val="nil"/>
              <w:right w:val="single" w:sz="4" w:space="0" w:color="auto"/>
            </w:tcBorders>
            <w:shd w:val="clear" w:color="000000" w:fill="FFFFFF"/>
            <w:noWrap/>
            <w:vAlign w:val="bottom"/>
            <w:hideMark/>
          </w:tcPr>
          <w:p w14:paraId="0E781CD3" w14:textId="77777777" w:rsidR="00CD7CF9" w:rsidRPr="00CD7CF9" w:rsidRDefault="00CD7CF9" w:rsidP="00CD7CF9">
            <w:pPr>
              <w:jc w:val="center"/>
              <w:rPr>
                <w:rFonts w:cs="Calibri"/>
                <w:sz w:val="22"/>
                <w:szCs w:val="22"/>
              </w:rPr>
            </w:pPr>
            <w:r w:rsidRPr="00CD7CF9">
              <w:rPr>
                <w:rFonts w:cs="Calibri"/>
                <w:sz w:val="22"/>
                <w:szCs w:val="22"/>
              </w:rPr>
              <w:t>2.2%</w:t>
            </w:r>
          </w:p>
        </w:tc>
        <w:tc>
          <w:tcPr>
            <w:tcW w:w="970" w:type="dxa"/>
            <w:tcBorders>
              <w:top w:val="nil"/>
              <w:left w:val="nil"/>
              <w:bottom w:val="nil"/>
              <w:right w:val="single" w:sz="4" w:space="0" w:color="auto"/>
            </w:tcBorders>
            <w:shd w:val="clear" w:color="000000" w:fill="FFFFFF"/>
            <w:noWrap/>
            <w:vAlign w:val="bottom"/>
            <w:hideMark/>
          </w:tcPr>
          <w:p w14:paraId="30F679EF" w14:textId="77777777" w:rsidR="00CD7CF9" w:rsidRPr="00CD7CF9" w:rsidRDefault="00CD7CF9" w:rsidP="00CD7CF9">
            <w:pPr>
              <w:jc w:val="center"/>
              <w:rPr>
                <w:rFonts w:cs="Calibri"/>
                <w:sz w:val="22"/>
                <w:szCs w:val="22"/>
              </w:rPr>
            </w:pPr>
            <w:r w:rsidRPr="00CD7CF9">
              <w:rPr>
                <w:rFonts w:cs="Calibri"/>
                <w:sz w:val="22"/>
                <w:szCs w:val="22"/>
              </w:rPr>
              <w:t>63</w:t>
            </w:r>
          </w:p>
        </w:tc>
      </w:tr>
      <w:tr w:rsidR="00CD7CF9" w:rsidRPr="00CD7CF9" w14:paraId="176C9AF1" w14:textId="77777777" w:rsidTr="00DB60E5">
        <w:trPr>
          <w:trHeight w:val="19"/>
          <w:jc w:val="center"/>
        </w:trPr>
        <w:tc>
          <w:tcPr>
            <w:tcW w:w="983" w:type="dxa"/>
            <w:vMerge/>
            <w:tcBorders>
              <w:top w:val="nil"/>
              <w:left w:val="single" w:sz="4" w:space="0" w:color="auto"/>
              <w:bottom w:val="single" w:sz="4" w:space="0" w:color="000000"/>
              <w:right w:val="nil"/>
            </w:tcBorders>
            <w:vAlign w:val="center"/>
            <w:hideMark/>
          </w:tcPr>
          <w:p w14:paraId="62B3C7E8" w14:textId="77777777" w:rsidR="00CD7CF9" w:rsidRPr="00CD7CF9" w:rsidRDefault="00CD7CF9" w:rsidP="00CD7CF9">
            <w:pPr>
              <w:rPr>
                <w:rFonts w:cs="Calibri"/>
                <w:sz w:val="22"/>
                <w:szCs w:val="22"/>
              </w:rPr>
            </w:pPr>
          </w:p>
        </w:tc>
        <w:tc>
          <w:tcPr>
            <w:tcW w:w="971" w:type="dxa"/>
            <w:tcBorders>
              <w:top w:val="nil"/>
              <w:left w:val="single" w:sz="4" w:space="0" w:color="auto"/>
              <w:bottom w:val="nil"/>
              <w:right w:val="single" w:sz="4" w:space="0" w:color="auto"/>
            </w:tcBorders>
            <w:shd w:val="clear" w:color="000000" w:fill="FFFFFF"/>
            <w:noWrap/>
            <w:vAlign w:val="bottom"/>
            <w:hideMark/>
          </w:tcPr>
          <w:p w14:paraId="2608EEF7" w14:textId="77777777" w:rsidR="00CD7CF9" w:rsidRPr="00CD7CF9" w:rsidRDefault="00CD7CF9" w:rsidP="00CD7CF9">
            <w:pPr>
              <w:jc w:val="center"/>
              <w:rPr>
                <w:rFonts w:cs="Calibri"/>
                <w:sz w:val="22"/>
                <w:szCs w:val="22"/>
              </w:rPr>
            </w:pPr>
            <w:r w:rsidRPr="00CD7CF9">
              <w:rPr>
                <w:rFonts w:cs="Calibri"/>
                <w:sz w:val="22"/>
                <w:szCs w:val="22"/>
              </w:rPr>
              <w:t>Inland</w:t>
            </w:r>
          </w:p>
        </w:tc>
        <w:tc>
          <w:tcPr>
            <w:tcW w:w="1152" w:type="dxa"/>
            <w:tcBorders>
              <w:top w:val="nil"/>
              <w:left w:val="nil"/>
              <w:bottom w:val="nil"/>
              <w:right w:val="single" w:sz="4" w:space="0" w:color="auto"/>
            </w:tcBorders>
            <w:shd w:val="clear" w:color="000000" w:fill="FFFFFF"/>
            <w:noWrap/>
            <w:vAlign w:val="bottom"/>
            <w:hideMark/>
          </w:tcPr>
          <w:p w14:paraId="3FC451D9" w14:textId="77777777" w:rsidR="00CD7CF9" w:rsidRPr="00CD7CF9" w:rsidRDefault="00CD7CF9" w:rsidP="00CD7CF9">
            <w:pPr>
              <w:jc w:val="center"/>
              <w:rPr>
                <w:rFonts w:cs="Calibri"/>
                <w:sz w:val="22"/>
                <w:szCs w:val="22"/>
              </w:rPr>
            </w:pPr>
            <w:r w:rsidRPr="00CD7CF9">
              <w:rPr>
                <w:rFonts w:cs="Calibri"/>
                <w:sz w:val="22"/>
                <w:szCs w:val="22"/>
              </w:rPr>
              <w:t>1,422</w:t>
            </w:r>
          </w:p>
        </w:tc>
        <w:tc>
          <w:tcPr>
            <w:tcW w:w="1087" w:type="dxa"/>
            <w:tcBorders>
              <w:top w:val="nil"/>
              <w:left w:val="nil"/>
              <w:bottom w:val="nil"/>
              <w:right w:val="single" w:sz="4" w:space="0" w:color="auto"/>
            </w:tcBorders>
            <w:shd w:val="clear" w:color="000000" w:fill="FFFFFF"/>
            <w:noWrap/>
            <w:vAlign w:val="bottom"/>
            <w:hideMark/>
          </w:tcPr>
          <w:p w14:paraId="6984BCAF" w14:textId="77777777" w:rsidR="00CD7CF9" w:rsidRPr="00CD7CF9" w:rsidRDefault="00CD7CF9" w:rsidP="00CD7CF9">
            <w:pPr>
              <w:jc w:val="center"/>
              <w:rPr>
                <w:rFonts w:cs="Calibri"/>
                <w:sz w:val="22"/>
                <w:szCs w:val="22"/>
              </w:rPr>
            </w:pPr>
            <w:r w:rsidRPr="00CD7CF9">
              <w:rPr>
                <w:rFonts w:cs="Calibri"/>
                <w:sz w:val="22"/>
                <w:szCs w:val="22"/>
              </w:rPr>
              <w:t>1.38</w:t>
            </w:r>
          </w:p>
        </w:tc>
        <w:tc>
          <w:tcPr>
            <w:tcW w:w="1087" w:type="dxa"/>
            <w:tcBorders>
              <w:top w:val="nil"/>
              <w:left w:val="nil"/>
              <w:bottom w:val="nil"/>
              <w:right w:val="single" w:sz="4" w:space="0" w:color="auto"/>
            </w:tcBorders>
            <w:shd w:val="clear" w:color="000000" w:fill="FFFFFF"/>
            <w:noWrap/>
            <w:vAlign w:val="bottom"/>
            <w:hideMark/>
          </w:tcPr>
          <w:p w14:paraId="24477106" w14:textId="77777777" w:rsidR="00CD7CF9" w:rsidRPr="00CD7CF9" w:rsidRDefault="00CD7CF9" w:rsidP="00CD7CF9">
            <w:pPr>
              <w:jc w:val="center"/>
              <w:rPr>
                <w:rFonts w:cs="Calibri"/>
                <w:sz w:val="22"/>
                <w:szCs w:val="22"/>
              </w:rPr>
            </w:pPr>
            <w:r w:rsidRPr="00CD7CF9">
              <w:rPr>
                <w:rFonts w:cs="Calibri"/>
                <w:sz w:val="22"/>
                <w:szCs w:val="22"/>
              </w:rPr>
              <w:t>0.05</w:t>
            </w:r>
          </w:p>
        </w:tc>
        <w:tc>
          <w:tcPr>
            <w:tcW w:w="951" w:type="dxa"/>
            <w:tcBorders>
              <w:top w:val="nil"/>
              <w:left w:val="nil"/>
              <w:bottom w:val="nil"/>
              <w:right w:val="single" w:sz="4" w:space="0" w:color="auto"/>
            </w:tcBorders>
            <w:shd w:val="clear" w:color="000000" w:fill="FFFFFF"/>
            <w:noWrap/>
            <w:vAlign w:val="bottom"/>
            <w:hideMark/>
          </w:tcPr>
          <w:p w14:paraId="63C7B8C9" w14:textId="7768364C" w:rsidR="00CD7CF9" w:rsidRPr="00CD7CF9" w:rsidRDefault="00CD7CF9" w:rsidP="00CD7CF9">
            <w:pPr>
              <w:jc w:val="center"/>
              <w:rPr>
                <w:rFonts w:cs="Calibri"/>
                <w:sz w:val="22"/>
                <w:szCs w:val="22"/>
              </w:rPr>
            </w:pPr>
            <w:r w:rsidRPr="00CD7CF9">
              <w:rPr>
                <w:rFonts w:cs="Calibri"/>
                <w:sz w:val="22"/>
                <w:szCs w:val="22"/>
              </w:rPr>
              <w:t>0.97</w:t>
            </w:r>
          </w:p>
        </w:tc>
        <w:tc>
          <w:tcPr>
            <w:tcW w:w="970" w:type="dxa"/>
            <w:tcBorders>
              <w:top w:val="nil"/>
              <w:left w:val="nil"/>
              <w:bottom w:val="nil"/>
              <w:right w:val="single" w:sz="4" w:space="0" w:color="auto"/>
            </w:tcBorders>
            <w:shd w:val="clear" w:color="000000" w:fill="FFFFFF"/>
            <w:noWrap/>
            <w:vAlign w:val="bottom"/>
            <w:hideMark/>
          </w:tcPr>
          <w:p w14:paraId="0008ED69" w14:textId="77777777" w:rsidR="00CD7CF9" w:rsidRPr="00CD7CF9" w:rsidRDefault="00CD7CF9" w:rsidP="00CD7CF9">
            <w:pPr>
              <w:jc w:val="center"/>
              <w:rPr>
                <w:rFonts w:cs="Calibri"/>
                <w:sz w:val="22"/>
                <w:szCs w:val="22"/>
              </w:rPr>
            </w:pPr>
            <w:r w:rsidRPr="00CD7CF9">
              <w:rPr>
                <w:rFonts w:cs="Calibri"/>
                <w:sz w:val="22"/>
                <w:szCs w:val="22"/>
              </w:rPr>
              <w:t>0.033</w:t>
            </w:r>
          </w:p>
        </w:tc>
        <w:tc>
          <w:tcPr>
            <w:tcW w:w="970" w:type="dxa"/>
            <w:tcBorders>
              <w:top w:val="nil"/>
              <w:left w:val="nil"/>
              <w:bottom w:val="nil"/>
              <w:right w:val="single" w:sz="4" w:space="0" w:color="auto"/>
            </w:tcBorders>
            <w:shd w:val="clear" w:color="000000" w:fill="FFFFFF"/>
            <w:noWrap/>
            <w:vAlign w:val="bottom"/>
            <w:hideMark/>
          </w:tcPr>
          <w:p w14:paraId="71888851" w14:textId="77777777" w:rsidR="00CD7CF9" w:rsidRPr="00CD7CF9" w:rsidRDefault="00CD7CF9" w:rsidP="00CD7CF9">
            <w:pPr>
              <w:jc w:val="center"/>
              <w:rPr>
                <w:rFonts w:cs="Calibri"/>
                <w:sz w:val="22"/>
                <w:szCs w:val="22"/>
              </w:rPr>
            </w:pPr>
            <w:r w:rsidRPr="00CD7CF9">
              <w:rPr>
                <w:rFonts w:cs="Calibri"/>
                <w:sz w:val="22"/>
                <w:szCs w:val="22"/>
              </w:rPr>
              <w:t>3.4%</w:t>
            </w:r>
          </w:p>
        </w:tc>
        <w:tc>
          <w:tcPr>
            <w:tcW w:w="970" w:type="dxa"/>
            <w:tcBorders>
              <w:top w:val="nil"/>
              <w:left w:val="nil"/>
              <w:bottom w:val="nil"/>
              <w:right w:val="single" w:sz="4" w:space="0" w:color="auto"/>
            </w:tcBorders>
            <w:shd w:val="clear" w:color="000000" w:fill="FFFFFF"/>
            <w:noWrap/>
            <w:vAlign w:val="bottom"/>
            <w:hideMark/>
          </w:tcPr>
          <w:p w14:paraId="1DE28DF4" w14:textId="77777777" w:rsidR="00CD7CF9" w:rsidRPr="00CD7CF9" w:rsidRDefault="00CD7CF9" w:rsidP="00CD7CF9">
            <w:pPr>
              <w:jc w:val="center"/>
              <w:rPr>
                <w:rFonts w:cs="Calibri"/>
                <w:sz w:val="22"/>
                <w:szCs w:val="22"/>
              </w:rPr>
            </w:pPr>
            <w:r w:rsidRPr="00CD7CF9">
              <w:rPr>
                <w:rFonts w:cs="Calibri"/>
                <w:sz w:val="22"/>
                <w:szCs w:val="22"/>
              </w:rPr>
              <w:t>62</w:t>
            </w:r>
          </w:p>
        </w:tc>
      </w:tr>
      <w:tr w:rsidR="00CD7CF9" w:rsidRPr="00CD7CF9" w14:paraId="23D6C6CA" w14:textId="77777777" w:rsidTr="00DB60E5">
        <w:trPr>
          <w:trHeight w:val="19"/>
          <w:jc w:val="center"/>
        </w:trPr>
        <w:tc>
          <w:tcPr>
            <w:tcW w:w="983" w:type="dxa"/>
            <w:vMerge/>
            <w:tcBorders>
              <w:top w:val="nil"/>
              <w:left w:val="single" w:sz="4" w:space="0" w:color="auto"/>
              <w:bottom w:val="single" w:sz="4" w:space="0" w:color="000000"/>
              <w:right w:val="nil"/>
            </w:tcBorders>
            <w:vAlign w:val="center"/>
            <w:hideMark/>
          </w:tcPr>
          <w:p w14:paraId="3C80C619" w14:textId="77777777" w:rsidR="00CD7CF9" w:rsidRPr="00CD7CF9" w:rsidRDefault="00CD7CF9" w:rsidP="00CD7CF9">
            <w:pPr>
              <w:rPr>
                <w:rFonts w:cs="Calibri"/>
                <w:sz w:val="22"/>
                <w:szCs w:val="22"/>
              </w:rPr>
            </w:pPr>
          </w:p>
        </w:tc>
        <w:tc>
          <w:tcPr>
            <w:tcW w:w="971" w:type="dxa"/>
            <w:tcBorders>
              <w:top w:val="nil"/>
              <w:left w:val="single" w:sz="4" w:space="0" w:color="auto"/>
              <w:bottom w:val="single" w:sz="4" w:space="0" w:color="auto"/>
              <w:right w:val="single" w:sz="4" w:space="0" w:color="auto"/>
            </w:tcBorders>
            <w:shd w:val="clear" w:color="000000" w:fill="FFFFFF"/>
            <w:noWrap/>
            <w:vAlign w:val="bottom"/>
            <w:hideMark/>
          </w:tcPr>
          <w:p w14:paraId="333C8FEA" w14:textId="77777777" w:rsidR="00CD7CF9" w:rsidRPr="00237521" w:rsidRDefault="00CD7CF9" w:rsidP="00CD7CF9">
            <w:pPr>
              <w:jc w:val="center"/>
              <w:rPr>
                <w:rFonts w:cs="Calibri"/>
                <w:b/>
                <w:sz w:val="22"/>
                <w:szCs w:val="22"/>
              </w:rPr>
            </w:pPr>
            <w:r w:rsidRPr="00237521">
              <w:rPr>
                <w:rFonts w:cs="Calibri"/>
                <w:b/>
                <w:sz w:val="22"/>
                <w:szCs w:val="22"/>
              </w:rPr>
              <w:t>All</w:t>
            </w:r>
          </w:p>
        </w:tc>
        <w:tc>
          <w:tcPr>
            <w:tcW w:w="1152" w:type="dxa"/>
            <w:tcBorders>
              <w:top w:val="nil"/>
              <w:left w:val="nil"/>
              <w:bottom w:val="single" w:sz="4" w:space="0" w:color="auto"/>
              <w:right w:val="single" w:sz="4" w:space="0" w:color="auto"/>
            </w:tcBorders>
            <w:shd w:val="clear" w:color="000000" w:fill="FFFFFF"/>
            <w:noWrap/>
            <w:vAlign w:val="bottom"/>
            <w:hideMark/>
          </w:tcPr>
          <w:p w14:paraId="3569CDE3" w14:textId="77777777" w:rsidR="00CD7CF9" w:rsidRPr="00237521" w:rsidRDefault="00CD7CF9" w:rsidP="00CD7CF9">
            <w:pPr>
              <w:jc w:val="center"/>
              <w:rPr>
                <w:rFonts w:cs="Calibri"/>
                <w:b/>
                <w:sz w:val="22"/>
                <w:szCs w:val="22"/>
              </w:rPr>
            </w:pPr>
            <w:r w:rsidRPr="00237521">
              <w:rPr>
                <w:rFonts w:cs="Calibri"/>
                <w:b/>
                <w:sz w:val="22"/>
                <w:szCs w:val="22"/>
              </w:rPr>
              <w:t>3,395</w:t>
            </w:r>
          </w:p>
        </w:tc>
        <w:tc>
          <w:tcPr>
            <w:tcW w:w="1087" w:type="dxa"/>
            <w:tcBorders>
              <w:top w:val="nil"/>
              <w:left w:val="nil"/>
              <w:bottom w:val="single" w:sz="4" w:space="0" w:color="auto"/>
              <w:right w:val="single" w:sz="4" w:space="0" w:color="auto"/>
            </w:tcBorders>
            <w:shd w:val="clear" w:color="000000" w:fill="FFFFFF"/>
            <w:noWrap/>
            <w:vAlign w:val="bottom"/>
            <w:hideMark/>
          </w:tcPr>
          <w:p w14:paraId="370C5B0D" w14:textId="77777777" w:rsidR="00CD7CF9" w:rsidRPr="00237521" w:rsidRDefault="00CD7CF9" w:rsidP="00CD7CF9">
            <w:pPr>
              <w:jc w:val="center"/>
              <w:rPr>
                <w:rFonts w:cs="Calibri"/>
                <w:b/>
                <w:sz w:val="22"/>
                <w:szCs w:val="22"/>
              </w:rPr>
            </w:pPr>
            <w:r w:rsidRPr="00237521">
              <w:rPr>
                <w:rFonts w:cs="Calibri"/>
                <w:b/>
                <w:sz w:val="22"/>
                <w:szCs w:val="22"/>
              </w:rPr>
              <w:t>3.16</w:t>
            </w:r>
          </w:p>
        </w:tc>
        <w:tc>
          <w:tcPr>
            <w:tcW w:w="1087" w:type="dxa"/>
            <w:tcBorders>
              <w:top w:val="nil"/>
              <w:left w:val="nil"/>
              <w:bottom w:val="single" w:sz="4" w:space="0" w:color="auto"/>
              <w:right w:val="single" w:sz="4" w:space="0" w:color="auto"/>
            </w:tcBorders>
            <w:shd w:val="clear" w:color="000000" w:fill="FFFFFF"/>
            <w:noWrap/>
            <w:vAlign w:val="bottom"/>
            <w:hideMark/>
          </w:tcPr>
          <w:p w14:paraId="700DD68A" w14:textId="77777777" w:rsidR="00CD7CF9" w:rsidRPr="00237521" w:rsidRDefault="00CD7CF9" w:rsidP="00CD7CF9">
            <w:pPr>
              <w:jc w:val="center"/>
              <w:rPr>
                <w:rFonts w:cs="Calibri"/>
                <w:b/>
                <w:sz w:val="22"/>
                <w:szCs w:val="22"/>
              </w:rPr>
            </w:pPr>
            <w:r w:rsidRPr="00237521">
              <w:rPr>
                <w:rFonts w:cs="Calibri"/>
                <w:b/>
                <w:sz w:val="22"/>
                <w:szCs w:val="22"/>
              </w:rPr>
              <w:t>0.09</w:t>
            </w:r>
          </w:p>
        </w:tc>
        <w:tc>
          <w:tcPr>
            <w:tcW w:w="951" w:type="dxa"/>
            <w:tcBorders>
              <w:top w:val="nil"/>
              <w:left w:val="nil"/>
              <w:bottom w:val="single" w:sz="4" w:space="0" w:color="auto"/>
              <w:right w:val="single" w:sz="4" w:space="0" w:color="auto"/>
            </w:tcBorders>
            <w:shd w:val="clear" w:color="000000" w:fill="FFFFFF"/>
            <w:noWrap/>
            <w:vAlign w:val="bottom"/>
            <w:hideMark/>
          </w:tcPr>
          <w:p w14:paraId="5DEC5DA6" w14:textId="02288667" w:rsidR="00CD7CF9" w:rsidRPr="00237521" w:rsidRDefault="00CD7CF9" w:rsidP="00CD7CF9">
            <w:pPr>
              <w:jc w:val="center"/>
              <w:rPr>
                <w:rFonts w:cs="Calibri"/>
                <w:b/>
                <w:sz w:val="22"/>
                <w:szCs w:val="22"/>
              </w:rPr>
            </w:pPr>
            <w:r w:rsidRPr="00237521">
              <w:rPr>
                <w:rFonts w:cs="Calibri"/>
                <w:b/>
                <w:sz w:val="22"/>
                <w:szCs w:val="22"/>
              </w:rPr>
              <w:t>0.93</w:t>
            </w:r>
          </w:p>
        </w:tc>
        <w:tc>
          <w:tcPr>
            <w:tcW w:w="970" w:type="dxa"/>
            <w:tcBorders>
              <w:top w:val="nil"/>
              <w:left w:val="nil"/>
              <w:bottom w:val="single" w:sz="4" w:space="0" w:color="auto"/>
              <w:right w:val="single" w:sz="4" w:space="0" w:color="auto"/>
            </w:tcBorders>
            <w:shd w:val="clear" w:color="000000" w:fill="FFFFFF"/>
            <w:noWrap/>
            <w:vAlign w:val="bottom"/>
            <w:hideMark/>
          </w:tcPr>
          <w:p w14:paraId="4FD18A56" w14:textId="77777777" w:rsidR="00CD7CF9" w:rsidRPr="00237521" w:rsidRDefault="00CD7CF9" w:rsidP="00CD7CF9">
            <w:pPr>
              <w:jc w:val="center"/>
              <w:rPr>
                <w:rFonts w:cs="Calibri"/>
                <w:b/>
                <w:sz w:val="22"/>
                <w:szCs w:val="22"/>
              </w:rPr>
            </w:pPr>
            <w:r w:rsidRPr="00237521">
              <w:rPr>
                <w:rFonts w:cs="Calibri"/>
                <w:b/>
                <w:sz w:val="22"/>
                <w:szCs w:val="22"/>
              </w:rPr>
              <w:t>0.025</w:t>
            </w:r>
          </w:p>
        </w:tc>
        <w:tc>
          <w:tcPr>
            <w:tcW w:w="970" w:type="dxa"/>
            <w:tcBorders>
              <w:top w:val="nil"/>
              <w:left w:val="nil"/>
              <w:bottom w:val="single" w:sz="4" w:space="0" w:color="auto"/>
              <w:right w:val="single" w:sz="4" w:space="0" w:color="auto"/>
            </w:tcBorders>
            <w:shd w:val="clear" w:color="000000" w:fill="FFFFFF"/>
            <w:noWrap/>
            <w:vAlign w:val="bottom"/>
            <w:hideMark/>
          </w:tcPr>
          <w:p w14:paraId="34B4E7B3" w14:textId="77777777" w:rsidR="00CD7CF9" w:rsidRPr="00237521" w:rsidRDefault="00CD7CF9" w:rsidP="00CD7CF9">
            <w:pPr>
              <w:jc w:val="center"/>
              <w:rPr>
                <w:rFonts w:cs="Calibri"/>
                <w:b/>
                <w:sz w:val="22"/>
                <w:szCs w:val="22"/>
              </w:rPr>
            </w:pPr>
            <w:r w:rsidRPr="00237521">
              <w:rPr>
                <w:rFonts w:cs="Calibri"/>
                <w:b/>
                <w:sz w:val="22"/>
                <w:szCs w:val="22"/>
              </w:rPr>
              <w:t>2.8%</w:t>
            </w:r>
          </w:p>
        </w:tc>
        <w:tc>
          <w:tcPr>
            <w:tcW w:w="970" w:type="dxa"/>
            <w:tcBorders>
              <w:top w:val="nil"/>
              <w:left w:val="nil"/>
              <w:bottom w:val="single" w:sz="4" w:space="0" w:color="auto"/>
              <w:right w:val="single" w:sz="4" w:space="0" w:color="auto"/>
            </w:tcBorders>
            <w:shd w:val="clear" w:color="000000" w:fill="FFFFFF"/>
            <w:noWrap/>
            <w:vAlign w:val="bottom"/>
            <w:hideMark/>
          </w:tcPr>
          <w:p w14:paraId="1B298B6E" w14:textId="77777777" w:rsidR="00CD7CF9" w:rsidRPr="00237521" w:rsidRDefault="00CD7CF9" w:rsidP="00CD7CF9">
            <w:pPr>
              <w:jc w:val="center"/>
              <w:rPr>
                <w:rFonts w:cs="Calibri"/>
                <w:b/>
                <w:sz w:val="22"/>
                <w:szCs w:val="22"/>
              </w:rPr>
            </w:pPr>
            <w:r w:rsidRPr="00237521">
              <w:rPr>
                <w:rFonts w:cs="Calibri"/>
                <w:b/>
                <w:sz w:val="22"/>
                <w:szCs w:val="22"/>
              </w:rPr>
              <w:t>62</w:t>
            </w:r>
          </w:p>
        </w:tc>
      </w:tr>
    </w:tbl>
    <w:p w14:paraId="2E0B271B" w14:textId="77777777" w:rsidR="00CD7CF9" w:rsidRDefault="00CD7CF9" w:rsidP="00237521"/>
    <w:p w14:paraId="570002E9" w14:textId="3D89D25E" w:rsidR="00D26F0E" w:rsidRPr="0052731E" w:rsidRDefault="004E7E8B" w:rsidP="00095AB1">
      <w:pPr>
        <w:spacing w:after="120"/>
      </w:pPr>
      <w:r>
        <w:t xml:space="preserve">In contrast to the TOU customers, </w:t>
      </w:r>
      <w:r w:rsidR="005E5D58" w:rsidRPr="00402BFC">
        <w:t>CPP</w:t>
      </w:r>
      <w:r w:rsidR="003321E8">
        <w:t xml:space="preserve"> customers</w:t>
      </w:r>
      <w:r>
        <w:t xml:space="preserve"> </w:t>
      </w:r>
      <w:r w:rsidR="008E0D46">
        <w:t xml:space="preserve">decreased </w:t>
      </w:r>
      <w:r>
        <w:t xml:space="preserve">their </w:t>
      </w:r>
      <w:r w:rsidR="008E0D46" w:rsidRPr="00237521">
        <w:rPr>
          <w:i/>
        </w:rPr>
        <w:t>daily</w:t>
      </w:r>
      <w:r w:rsidR="008E0D46">
        <w:t xml:space="preserve"> </w:t>
      </w:r>
      <w:r>
        <w:t>energy consumption by small am</w:t>
      </w:r>
      <w:r w:rsidR="00DB60E5">
        <w:t xml:space="preserve">ounts </w:t>
      </w:r>
      <w:r w:rsidR="008E0D46">
        <w:t>for most</w:t>
      </w:r>
      <w:r w:rsidR="00DB60E5">
        <w:t xml:space="preserve"> month</w:t>
      </w:r>
      <w:r w:rsidR="008E0D46">
        <w:t>s</w:t>
      </w:r>
      <w:r w:rsidR="00DB60E5">
        <w:t xml:space="preserve"> of the year</w:t>
      </w:r>
      <w:r w:rsidR="008E0D46">
        <w:t xml:space="preserve"> (October, November, and August exhibited increases).</w:t>
      </w:r>
      <w:r w:rsidR="00DB60E5">
        <w:t xml:space="preserve"> </w:t>
      </w:r>
      <w:r w:rsidR="008E0D46">
        <w:t xml:space="preserve">The </w:t>
      </w:r>
      <w:r w:rsidR="00DB60E5">
        <w:t>resul</w:t>
      </w:r>
      <w:r w:rsidR="008E0D46">
        <w:t>t</w:t>
      </w:r>
      <w:r w:rsidR="00DB60E5">
        <w:t xml:space="preserve"> </w:t>
      </w:r>
      <w:r w:rsidR="008E0D46">
        <w:t xml:space="preserve">is </w:t>
      </w:r>
      <w:r w:rsidR="00DB60E5">
        <w:t xml:space="preserve">an average annual </w:t>
      </w:r>
      <w:r w:rsidR="008E0D46">
        <w:rPr>
          <w:i/>
        </w:rPr>
        <w:t>decrease</w:t>
      </w:r>
      <w:r w:rsidR="00DB60E5">
        <w:t xml:space="preserve"> of about 1.</w:t>
      </w:r>
      <w:r w:rsidR="008E0D46">
        <w:t>2</w:t>
      </w:r>
      <w:r w:rsidR="00DB60E5">
        <w:t xml:space="preserve"> percent.</w:t>
      </w:r>
    </w:p>
    <w:p w14:paraId="632FA59B" w14:textId="08840257" w:rsidR="009E44A8" w:rsidRPr="00237521" w:rsidRDefault="009E44A8" w:rsidP="00095AB1">
      <w:pPr>
        <w:pStyle w:val="Heading2"/>
        <w:spacing w:after="120"/>
      </w:pPr>
      <w:bookmarkStart w:id="34" w:name="_Toc289180060"/>
      <w:bookmarkStart w:id="35" w:name="_Toc326224618"/>
      <w:bookmarkStart w:id="36" w:name="_Toc352235833"/>
      <w:bookmarkStart w:id="37" w:name="_Toc383774918"/>
      <w:bookmarkStart w:id="38" w:name="_Toc413586711"/>
      <w:bookmarkStart w:id="39" w:name="_Toc509576740"/>
      <w:r w:rsidRPr="00237521">
        <w:lastRenderedPageBreak/>
        <w:t xml:space="preserve">ES.4 </w:t>
      </w:r>
      <w:r w:rsidR="00171887" w:rsidRPr="00237521">
        <w:t>Ex-A</w:t>
      </w:r>
      <w:r w:rsidRPr="00237521">
        <w:t>nte Load Impacts</w:t>
      </w:r>
      <w:bookmarkEnd w:id="34"/>
      <w:bookmarkEnd w:id="35"/>
      <w:bookmarkEnd w:id="36"/>
      <w:bookmarkEnd w:id="37"/>
      <w:bookmarkEnd w:id="38"/>
      <w:bookmarkEnd w:id="39"/>
    </w:p>
    <w:p w14:paraId="604E12A6" w14:textId="04D25C89" w:rsidR="00316AA4" w:rsidRPr="00237521" w:rsidRDefault="00316AA4" w:rsidP="00095AB1">
      <w:pPr>
        <w:spacing w:after="120"/>
        <w:rPr>
          <w:i/>
        </w:rPr>
      </w:pPr>
      <w:r w:rsidRPr="00237521">
        <w:t>SDG&amp;E calle</w:t>
      </w:r>
      <w:r w:rsidR="008C730A" w:rsidRPr="00237521">
        <w:t xml:space="preserve">d three </w:t>
      </w:r>
      <w:r w:rsidR="0031653F" w:rsidRPr="00237521">
        <w:t>RYU/CPP event</w:t>
      </w:r>
      <w:r w:rsidR="008C730A" w:rsidRPr="00237521">
        <w:t>s</w:t>
      </w:r>
      <w:r w:rsidR="0031653F" w:rsidRPr="00237521">
        <w:t xml:space="preserve"> </w:t>
      </w:r>
      <w:r w:rsidR="008C730A" w:rsidRPr="00237521">
        <w:t xml:space="preserve">in 2017, two of which were weekdays. </w:t>
      </w:r>
      <w:r w:rsidR="0050472E">
        <w:t>We base forecasts going forward on the two weekday events.</w:t>
      </w:r>
      <w:r w:rsidRPr="00237521">
        <w:t xml:space="preserve"> </w:t>
      </w:r>
      <w:r w:rsidR="008C730A" w:rsidRPr="00237521">
        <w:t>We</w:t>
      </w:r>
      <w:r w:rsidRPr="00237521">
        <w:t xml:space="preserve"> developed load impacts for different weather scenarios by applying the estimated percentage load impact from the </w:t>
      </w:r>
      <w:r w:rsidRPr="00237521">
        <w:rPr>
          <w:i/>
        </w:rPr>
        <w:t>ex-post</w:t>
      </w:r>
      <w:r w:rsidRPr="00237521">
        <w:t xml:space="preserve"> analysis to weather-sensitive reference loads. Those were developed using regression models similar to those used in the </w:t>
      </w:r>
      <w:r w:rsidRPr="00237521">
        <w:rPr>
          <w:i/>
        </w:rPr>
        <w:t>ex-post</w:t>
      </w:r>
      <w:r w:rsidRPr="00237521">
        <w:t xml:space="preserve"> analysis, and then simulating loads under the four alternative weather scenarios</w:t>
      </w:r>
      <w:r>
        <w:t>.</w:t>
      </w:r>
      <w:r w:rsidR="008E0D46">
        <w:t xml:space="preserve"> SDG&amp;E has updated the RYU/CPP event hours</w:t>
      </w:r>
      <w:r w:rsidR="00D76587">
        <w:t>,</w:t>
      </w:r>
      <w:r w:rsidR="00D76587" w:rsidRPr="00D76587">
        <w:t xml:space="preserve"> </w:t>
      </w:r>
      <w:r w:rsidR="00D76587">
        <w:t xml:space="preserve">reducing the event window of 11:00 a.m. to 6:00 p.m. (HE 12-18) to an event widow of 2:00 to </w:t>
      </w:r>
      <w:r w:rsidR="00812A77">
        <w:t>6</w:t>
      </w:r>
      <w:r w:rsidR="00D76587">
        <w:t xml:space="preserve">:00 p.m. (HE 15-18). To apply </w:t>
      </w:r>
      <w:r w:rsidR="00D76587">
        <w:rPr>
          <w:i/>
        </w:rPr>
        <w:t xml:space="preserve">ex-post </w:t>
      </w:r>
      <w:r w:rsidR="00D76587">
        <w:t xml:space="preserve">load impacts that correspond to the updated event window, we categorize each hour of the day with relationship to the event window, and then apply percentage load impacts to the corresponding period in </w:t>
      </w:r>
      <w:r w:rsidR="00D76587">
        <w:rPr>
          <w:i/>
        </w:rPr>
        <w:t>ex-ante.</w:t>
      </w:r>
      <w:r w:rsidR="00D76587">
        <w:t xml:space="preserve"> For example, the percentage load impact for the hour before the event in </w:t>
      </w:r>
      <w:r w:rsidR="00D76587">
        <w:rPr>
          <w:i/>
        </w:rPr>
        <w:t>ex-post</w:t>
      </w:r>
      <w:r w:rsidR="00D76587">
        <w:t xml:space="preserve"> (HE 11) is applied the </w:t>
      </w:r>
      <w:r w:rsidR="00D76587">
        <w:rPr>
          <w:i/>
        </w:rPr>
        <w:t xml:space="preserve">ex-ante </w:t>
      </w:r>
      <w:r w:rsidR="00D76587">
        <w:t xml:space="preserve">reference load for the hour before the event in </w:t>
      </w:r>
      <w:r w:rsidR="00D76587">
        <w:rPr>
          <w:i/>
        </w:rPr>
        <w:t xml:space="preserve">ex-ante </w:t>
      </w:r>
      <w:r w:rsidR="00D76587">
        <w:t>(HE 14).</w:t>
      </w:r>
    </w:p>
    <w:p w14:paraId="2E2E5142" w14:textId="63B3C52F" w:rsidR="00316AA4" w:rsidRDefault="00316AA4" w:rsidP="00095AB1">
      <w:pPr>
        <w:spacing w:after="120"/>
      </w:pPr>
      <w:r>
        <w:t xml:space="preserve">An issue in producing the </w:t>
      </w:r>
      <w:r w:rsidRPr="00277B06">
        <w:rPr>
          <w:i/>
        </w:rPr>
        <w:t>ex-ante</w:t>
      </w:r>
      <w:r>
        <w:t xml:space="preserve"> load impact forecasts for CPP is that the Protocols call for estimating load impacts for the </w:t>
      </w:r>
      <w:r w:rsidR="00252042">
        <w:t>Resource Adequacy (</w:t>
      </w:r>
      <w:r>
        <w:t>RA</w:t>
      </w:r>
      <w:r w:rsidR="00252042">
        <w:t>)</w:t>
      </w:r>
      <w:r>
        <w:t xml:space="preserve"> hours of 1 to 6 p.m. during summer months, and 4 to 9 p.m. in </w:t>
      </w:r>
      <w:r w:rsidR="00F23CC4">
        <w:t>winter</w:t>
      </w:r>
      <w:r>
        <w:t xml:space="preserve"> months, while the CPP events are called during the program hours of 11 a.m. to 6 p.m. year-round. We simulate the load impacts using the event hours that are indicated by the tariff, but we summarize the load impacts across the RA window as required.</w:t>
      </w:r>
    </w:p>
    <w:p w14:paraId="446C1922" w14:textId="7F91EC6C" w:rsidR="00316AA4" w:rsidRDefault="006D7973" w:rsidP="00095AB1">
      <w:pPr>
        <w:spacing w:after="120"/>
      </w:pPr>
      <w:r>
        <w:t>SDG&amp;E has also made changes to the TOU periods</w:t>
      </w:r>
      <w:r w:rsidR="00BD74F5">
        <w:t xml:space="preserve"> to be used in </w:t>
      </w:r>
      <w:r w:rsidR="00BD74F5">
        <w:rPr>
          <w:i/>
        </w:rPr>
        <w:t>ex-ante</w:t>
      </w:r>
      <w:r>
        <w:t xml:space="preserve">. </w:t>
      </w:r>
      <w:r w:rsidR="00316AA4">
        <w:t xml:space="preserve">For TOU </w:t>
      </w:r>
      <w:r w:rsidR="00402BFC">
        <w:t xml:space="preserve">rate </w:t>
      </w:r>
      <w:r w:rsidR="00316AA4">
        <w:t xml:space="preserve">and the TOU portion of the </w:t>
      </w:r>
      <w:r w:rsidR="005E5D58">
        <w:t>CPP</w:t>
      </w:r>
      <w:r w:rsidR="00316AA4">
        <w:t xml:space="preserve"> rate, we apply percentage load impacts from the </w:t>
      </w:r>
      <w:r w:rsidR="00316AA4" w:rsidRPr="00500126">
        <w:rPr>
          <w:i/>
        </w:rPr>
        <w:t>ex-post</w:t>
      </w:r>
      <w:r w:rsidR="00316AA4">
        <w:t xml:space="preserve"> analysis (monthly values for </w:t>
      </w:r>
      <w:r w:rsidR="005E5D58">
        <w:t>CPP</w:t>
      </w:r>
      <w:r w:rsidR="00316AA4">
        <w:t xml:space="preserve"> and seasonal values for TOU) to weather-sensitive reference loads</w:t>
      </w:r>
      <w:r w:rsidR="00BD74F5">
        <w:t xml:space="preserve"> in the corresponding TOU period (</w:t>
      </w:r>
      <w:r w:rsidR="00BD74F5">
        <w:rPr>
          <w:i/>
        </w:rPr>
        <w:t xml:space="preserve">e.g., </w:t>
      </w:r>
      <w:r w:rsidR="00BD74F5">
        <w:t>peak, off-peak)</w:t>
      </w:r>
      <w:r w:rsidR="00316AA4">
        <w:t>.</w:t>
      </w:r>
    </w:p>
    <w:p w14:paraId="02426914" w14:textId="05E82140" w:rsidR="00316AA4" w:rsidRDefault="00316AA4" w:rsidP="00677979">
      <w:pPr>
        <w:pStyle w:val="Heading2"/>
      </w:pPr>
      <w:bookmarkStart w:id="40" w:name="_Toc509576741"/>
      <w:r>
        <w:t>ES</w:t>
      </w:r>
      <w:r w:rsidRPr="0023738E">
        <w:t>.</w:t>
      </w:r>
      <w:r>
        <w:t>4.1</w:t>
      </w:r>
      <w:r w:rsidRPr="0023738E">
        <w:t xml:space="preserve"> </w:t>
      </w:r>
      <w:r>
        <w:t>Enrollment forecast</w:t>
      </w:r>
      <w:bookmarkEnd w:id="40"/>
    </w:p>
    <w:p w14:paraId="6A373715" w14:textId="7C4CB7A1" w:rsidR="00316AA4" w:rsidRDefault="00316AA4" w:rsidP="00095AB1">
      <w:pPr>
        <w:spacing w:after="120"/>
      </w:pPr>
      <w:r>
        <w:t xml:space="preserve">Figure ES.1 shows SDG&amp;E’s enrollment forecasts for the TOU and </w:t>
      </w:r>
      <w:r w:rsidR="005E5D58">
        <w:t>CPP</w:t>
      </w:r>
      <w:r>
        <w:t xml:space="preserve"> rates. Enrollment is anticipated to be essentially flat for TOU after 2019, while enrollment in </w:t>
      </w:r>
      <w:r w:rsidR="005E5D58">
        <w:t>CPP</w:t>
      </w:r>
      <w:r>
        <w:t xml:space="preserve"> is forecasted to nearly triple by the end of the forecast period. Enrollment is expected to be somewhat greater in the Coastal climate zone than in the Inland for both rates.</w:t>
      </w:r>
    </w:p>
    <w:p w14:paraId="63490BB3" w14:textId="2C715EC8" w:rsidR="00316AA4" w:rsidRDefault="00316AA4" w:rsidP="00095AB1">
      <w:pPr>
        <w:pStyle w:val="FigureCaption"/>
        <w:keepNext/>
      </w:pPr>
      <w:bookmarkStart w:id="41" w:name="_Toc509576810"/>
      <w:r>
        <w:lastRenderedPageBreak/>
        <w:t>Figure ES</w:t>
      </w:r>
      <w:r w:rsidRPr="003E379F">
        <w:t>.</w:t>
      </w:r>
      <w:r>
        <w:t>1</w:t>
      </w:r>
      <w:r w:rsidRPr="003E379F">
        <w:t xml:space="preserve">: </w:t>
      </w:r>
      <w:r>
        <w:t xml:space="preserve">Enrollments in TOU and </w:t>
      </w:r>
      <w:r w:rsidR="005E5D58">
        <w:t>CPP</w:t>
      </w:r>
      <w:r w:rsidR="00701C8B">
        <w:t xml:space="preserve"> Rates</w:t>
      </w:r>
      <w:bookmarkEnd w:id="41"/>
    </w:p>
    <w:p w14:paraId="0452C186" w14:textId="7018FBF9" w:rsidR="00316AA4" w:rsidRDefault="00D56C5E" w:rsidP="00095AB1">
      <w:pPr>
        <w:spacing w:after="120"/>
        <w:jc w:val="center"/>
      </w:pPr>
      <w:r>
        <w:rPr>
          <w:noProof/>
        </w:rPr>
        <w:drawing>
          <wp:inline distT="0" distB="0" distL="0" distR="0" wp14:anchorId="2099B377" wp14:editId="41C9A703">
            <wp:extent cx="5029835" cy="32004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29835" cy="3200400"/>
                    </a:xfrm>
                    <a:prstGeom prst="rect">
                      <a:avLst/>
                    </a:prstGeom>
                    <a:noFill/>
                  </pic:spPr>
                </pic:pic>
              </a:graphicData>
            </a:graphic>
          </wp:inline>
        </w:drawing>
      </w:r>
    </w:p>
    <w:p w14:paraId="4400DE3D" w14:textId="5582BAC8" w:rsidR="00316AA4" w:rsidRDefault="00316AA4" w:rsidP="00677979">
      <w:pPr>
        <w:pStyle w:val="Heading2"/>
      </w:pPr>
      <w:bookmarkStart w:id="42" w:name="_Toc509576742"/>
      <w:r>
        <w:t>ES</w:t>
      </w:r>
      <w:r w:rsidRPr="0023738E">
        <w:t>.</w:t>
      </w:r>
      <w:r>
        <w:t>4.2</w:t>
      </w:r>
      <w:r w:rsidRPr="0023738E">
        <w:t xml:space="preserve"> </w:t>
      </w:r>
      <w:r w:rsidRPr="00667B8C">
        <w:t>Ex-ante</w:t>
      </w:r>
      <w:r>
        <w:t xml:space="preserve"> load impacts – </w:t>
      </w:r>
      <w:r w:rsidR="000B36A2">
        <w:t xml:space="preserve">Residential </w:t>
      </w:r>
      <w:r>
        <w:t>CPP</w:t>
      </w:r>
      <w:bookmarkEnd w:id="42"/>
      <w:r>
        <w:t xml:space="preserve"> </w:t>
      </w:r>
    </w:p>
    <w:p w14:paraId="175776AD" w14:textId="472597C2" w:rsidR="00316AA4" w:rsidRDefault="00316AA4" w:rsidP="00095AB1">
      <w:pPr>
        <w:spacing w:after="120"/>
      </w:pPr>
      <w:r>
        <w:t>Figure ES.2 illustrates the growth in forecast CPP load impacts</w:t>
      </w:r>
      <w:r w:rsidR="00CA464A">
        <w:t xml:space="preserve"> over the forecast period</w:t>
      </w:r>
      <w:r>
        <w:t xml:space="preserve">, and the relatively minor differences between the aggregate </w:t>
      </w:r>
      <w:r w:rsidRPr="000B49DE">
        <w:rPr>
          <w:i/>
        </w:rPr>
        <w:t>ex-ante</w:t>
      </w:r>
      <w:r>
        <w:t xml:space="preserve"> load impacts for the alternative weather scenarios.</w:t>
      </w:r>
      <w:r w:rsidR="00CA464A">
        <w:t xml:space="preserve"> Load impacts under the SDG&amp;E 1-in-2 weather scenario are forecast to grow fr</w:t>
      </w:r>
      <w:r w:rsidR="008C730A">
        <w:t xml:space="preserve">om just </w:t>
      </w:r>
      <w:r w:rsidR="008C730A" w:rsidRPr="002770E4">
        <w:t>less than 0.</w:t>
      </w:r>
      <w:r w:rsidR="005A4F17">
        <w:t>87</w:t>
      </w:r>
      <w:r w:rsidR="005A4F17" w:rsidRPr="002770E4">
        <w:t xml:space="preserve"> </w:t>
      </w:r>
      <w:r w:rsidR="008C730A" w:rsidRPr="002770E4">
        <w:t>MW</w:t>
      </w:r>
      <w:r w:rsidR="002770E4" w:rsidRPr="002770E4">
        <w:t>h/h</w:t>
      </w:r>
      <w:r w:rsidR="008C730A" w:rsidRPr="002770E4">
        <w:t xml:space="preserve"> in 2018 to over </w:t>
      </w:r>
      <w:r w:rsidR="005A4F17">
        <w:t xml:space="preserve">2.18 </w:t>
      </w:r>
      <w:r w:rsidR="008C730A" w:rsidRPr="002770E4">
        <w:t>MW</w:t>
      </w:r>
      <w:r w:rsidR="002770E4">
        <w:t>h/h</w:t>
      </w:r>
      <w:r w:rsidR="008C730A" w:rsidRPr="002770E4">
        <w:t xml:space="preserve"> in 2028</w:t>
      </w:r>
      <w:r w:rsidR="00CA464A" w:rsidRPr="002770E4">
        <w:t>.</w:t>
      </w:r>
    </w:p>
    <w:p w14:paraId="6E055473" w14:textId="77777777" w:rsidR="003E541C" w:rsidRDefault="003E541C" w:rsidP="00095AB1">
      <w:pPr>
        <w:spacing w:after="120"/>
      </w:pPr>
    </w:p>
    <w:p w14:paraId="11709927" w14:textId="23951E3E" w:rsidR="00316AA4" w:rsidRDefault="00316AA4" w:rsidP="00095AB1">
      <w:pPr>
        <w:pStyle w:val="FigureCaption"/>
        <w:keepNext/>
      </w:pPr>
      <w:bookmarkStart w:id="43" w:name="_Toc509576811"/>
      <w:r w:rsidRPr="003E379F">
        <w:lastRenderedPageBreak/>
        <w:t xml:space="preserve">Figure </w:t>
      </w:r>
      <w:r w:rsidR="00CA464A">
        <w:t>ES</w:t>
      </w:r>
      <w:r w:rsidRPr="003E379F">
        <w:t>.</w:t>
      </w:r>
      <w:r w:rsidR="00CA464A">
        <w:t>2</w:t>
      </w:r>
      <w:r w:rsidRPr="003E379F">
        <w:t xml:space="preserve">: Aggregate </w:t>
      </w:r>
      <w:r>
        <w:t xml:space="preserve">CPP </w:t>
      </w:r>
      <w:r w:rsidRPr="003E379F">
        <w:t xml:space="preserve">Load Impacts </w:t>
      </w:r>
      <w:r>
        <w:t>(M</w:t>
      </w:r>
      <w:r w:rsidRPr="003E379F">
        <w:t>W</w:t>
      </w:r>
      <w:r w:rsidR="005A4F17">
        <w:t>h/h</w:t>
      </w:r>
      <w:r w:rsidRPr="003E379F">
        <w:t>)</w:t>
      </w:r>
      <w:r>
        <w:t>, by Year and Weather Scenario</w:t>
      </w:r>
      <w:r w:rsidR="00701C8B">
        <w:t xml:space="preserve"> </w:t>
      </w:r>
      <w:r w:rsidRPr="003E379F">
        <w:t>(</w:t>
      </w:r>
      <w:r>
        <w:rPr>
          <w:i/>
        </w:rPr>
        <w:t>SDG&amp;E 1-in-2 Peak Day, RA Window</w:t>
      </w:r>
      <w:r w:rsidRPr="003E379F">
        <w:t>)</w:t>
      </w:r>
      <w:bookmarkEnd w:id="43"/>
    </w:p>
    <w:p w14:paraId="27B01987" w14:textId="53654432" w:rsidR="00316AA4" w:rsidRDefault="005A4F17" w:rsidP="00095AB1">
      <w:pPr>
        <w:spacing w:after="120"/>
        <w:jc w:val="center"/>
      </w:pPr>
      <w:r>
        <w:rPr>
          <w:noProof/>
        </w:rPr>
        <w:drawing>
          <wp:inline distT="0" distB="0" distL="0" distR="0" wp14:anchorId="2D22B2BC" wp14:editId="08A5A6A4">
            <wp:extent cx="5029835" cy="32004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29835" cy="3200400"/>
                    </a:xfrm>
                    <a:prstGeom prst="rect">
                      <a:avLst/>
                    </a:prstGeom>
                    <a:noFill/>
                  </pic:spPr>
                </pic:pic>
              </a:graphicData>
            </a:graphic>
          </wp:inline>
        </w:drawing>
      </w:r>
    </w:p>
    <w:p w14:paraId="72A9AB00" w14:textId="69EF6D9C" w:rsidR="00CA464A" w:rsidRPr="00D3703B" w:rsidRDefault="00CA464A" w:rsidP="00095AB1">
      <w:pPr>
        <w:spacing w:after="120"/>
        <w:jc w:val="center"/>
      </w:pPr>
    </w:p>
    <w:p w14:paraId="29D017E7" w14:textId="14F14789" w:rsidR="00316AA4" w:rsidRPr="00CA464A" w:rsidRDefault="00CA464A" w:rsidP="000B36A2">
      <w:pPr>
        <w:pStyle w:val="Heading2"/>
      </w:pPr>
      <w:bookmarkStart w:id="44" w:name="_Toc509576743"/>
      <w:r w:rsidRPr="00CA464A">
        <w:t>ES</w:t>
      </w:r>
      <w:r w:rsidR="00316AA4" w:rsidRPr="00CA464A">
        <w:t>.</w:t>
      </w:r>
      <w:r w:rsidRPr="00CA464A">
        <w:t>4.</w:t>
      </w:r>
      <w:r w:rsidR="00316AA4" w:rsidRPr="00CA464A">
        <w:t xml:space="preserve">3 </w:t>
      </w:r>
      <w:r w:rsidR="00316AA4" w:rsidRPr="00667B8C">
        <w:t>Ex-Ante</w:t>
      </w:r>
      <w:r w:rsidR="00316AA4" w:rsidRPr="00CA464A">
        <w:t xml:space="preserve"> load impacts – Residential TOU</w:t>
      </w:r>
      <w:bookmarkEnd w:id="44"/>
      <w:r w:rsidR="00316AA4" w:rsidRPr="00CA464A">
        <w:t xml:space="preserve"> </w:t>
      </w:r>
    </w:p>
    <w:p w14:paraId="6897D268" w14:textId="6EA060D7" w:rsidR="00D50905" w:rsidRDefault="00D50905" w:rsidP="00095AB1">
      <w:pPr>
        <w:spacing w:after="120"/>
      </w:pPr>
      <w:r>
        <w:t>Aggregate peak load impacts for TOU</w:t>
      </w:r>
      <w:r w:rsidR="00730FB1">
        <w:t xml:space="preserve"> customers</w:t>
      </w:r>
      <w:r>
        <w:t xml:space="preserve"> are forecast to remain constant after 2019, given the flat enrollment forecast. Figure ES.3 shows differences in the aggregate peak load impact forecasts for </w:t>
      </w:r>
      <w:r w:rsidR="005E5D58">
        <w:t>CPP</w:t>
      </w:r>
      <w:r w:rsidR="00730FB1">
        <w:t xml:space="preserve"> customers</w:t>
      </w:r>
      <w:r>
        <w:t xml:space="preserve"> over the entire period. Values for the two 1-in-10 scenarios are identical, rising to nearly 0.</w:t>
      </w:r>
      <w:r w:rsidR="008C730A">
        <w:t>5</w:t>
      </w:r>
      <w:r w:rsidR="001F4F13">
        <w:t>3</w:t>
      </w:r>
      <w:r w:rsidR="00E548DF">
        <w:t xml:space="preserve"> MW</w:t>
      </w:r>
      <w:r w:rsidR="002770E4">
        <w:t>h/h</w:t>
      </w:r>
      <w:r w:rsidR="00E548DF">
        <w:t xml:space="preserve"> in the final year.</w:t>
      </w:r>
      <w:r>
        <w:t xml:space="preserve"> </w:t>
      </w:r>
      <w:r w:rsidR="00E548DF">
        <w:t>L</w:t>
      </w:r>
      <w:r>
        <w:t xml:space="preserve">oad impacts in the SDG&amp;E 1-in-2 scenario </w:t>
      </w:r>
      <w:r w:rsidR="00E548DF">
        <w:t>are nearly identical to</w:t>
      </w:r>
      <w:r>
        <w:t xml:space="preserve"> the CAISO 1-in-2 scenario</w:t>
      </w:r>
      <w:r w:rsidR="00E548DF">
        <w:t xml:space="preserve"> as well, rising to just over 0.</w:t>
      </w:r>
      <w:r w:rsidR="001F4F13">
        <w:t xml:space="preserve">51 </w:t>
      </w:r>
      <w:r w:rsidR="00E548DF">
        <w:t>MW</w:t>
      </w:r>
      <w:r w:rsidR="002770E4">
        <w:t>h/h</w:t>
      </w:r>
      <w:r w:rsidR="00E548DF">
        <w:t xml:space="preserve"> in 2028</w:t>
      </w:r>
      <w:r>
        <w:t>.</w:t>
      </w:r>
      <w:r w:rsidR="009E0794">
        <w:rPr>
          <w:rStyle w:val="FootnoteReference"/>
        </w:rPr>
        <w:footnoteReference w:id="5"/>
      </w:r>
    </w:p>
    <w:p w14:paraId="5DCC0D03" w14:textId="77777777" w:rsidR="00D50905" w:rsidRDefault="00D50905" w:rsidP="00095AB1">
      <w:pPr>
        <w:spacing w:after="120"/>
      </w:pPr>
    </w:p>
    <w:p w14:paraId="781C1570" w14:textId="562B66C9" w:rsidR="00D50905" w:rsidRDefault="00D50905" w:rsidP="00095AB1">
      <w:pPr>
        <w:pStyle w:val="FigureCaption"/>
        <w:keepNext/>
      </w:pPr>
      <w:bookmarkStart w:id="45" w:name="_Toc509576812"/>
      <w:r w:rsidRPr="003E379F">
        <w:lastRenderedPageBreak/>
        <w:t xml:space="preserve">Figure </w:t>
      </w:r>
      <w:r w:rsidR="00E42962">
        <w:t>ES.3</w:t>
      </w:r>
      <w:r w:rsidRPr="003E379F">
        <w:t>: Aggregate</w:t>
      </w:r>
      <w:r w:rsidR="001F2B7A">
        <w:t xml:space="preserve"> TOU</w:t>
      </w:r>
      <w:r w:rsidRPr="003E379F">
        <w:t xml:space="preserve"> Load Impacts </w:t>
      </w:r>
      <w:r>
        <w:t>(M</w:t>
      </w:r>
      <w:r w:rsidRPr="003E379F">
        <w:t>W</w:t>
      </w:r>
      <w:r w:rsidR="001F2B7A">
        <w:t>h/h</w:t>
      </w:r>
      <w:r w:rsidRPr="003E379F">
        <w:t>)</w:t>
      </w:r>
      <w:r>
        <w:t>, by Year and Weather Scenario</w:t>
      </w:r>
      <w:r w:rsidRPr="003E379F">
        <w:t xml:space="preserve"> – </w:t>
      </w:r>
      <w:r w:rsidR="00E42962">
        <w:br/>
      </w:r>
      <w:r w:rsidR="0056633E">
        <w:rPr>
          <w:i/>
        </w:rPr>
        <w:t>TOU-DR and TOU-DR-P</w:t>
      </w:r>
      <w:r w:rsidR="0056633E">
        <w:t xml:space="preserve"> </w:t>
      </w:r>
      <w:r w:rsidR="001F2B7A">
        <w:t>Customers</w:t>
      </w:r>
      <w:r>
        <w:t xml:space="preserve"> </w:t>
      </w:r>
      <w:r w:rsidRPr="003E379F">
        <w:t>(</w:t>
      </w:r>
      <w:r>
        <w:rPr>
          <w:i/>
        </w:rPr>
        <w:t>SDG&amp;E 1-in-2 Average Weekday, RA Window</w:t>
      </w:r>
      <w:r w:rsidRPr="003E379F">
        <w:t>)</w:t>
      </w:r>
      <w:bookmarkEnd w:id="45"/>
    </w:p>
    <w:p w14:paraId="686F525C" w14:textId="6201E689" w:rsidR="00D50905" w:rsidRDefault="00CA157B" w:rsidP="00095AB1">
      <w:pPr>
        <w:spacing w:after="120"/>
        <w:jc w:val="center"/>
      </w:pPr>
      <w:r>
        <w:rPr>
          <w:noProof/>
        </w:rPr>
        <w:drawing>
          <wp:inline distT="0" distB="0" distL="0" distR="0" wp14:anchorId="3B1E5238" wp14:editId="7A8CD475">
            <wp:extent cx="5029835" cy="3230880"/>
            <wp:effectExtent l="0" t="0" r="0" b="762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29835" cy="3230880"/>
                    </a:xfrm>
                    <a:prstGeom prst="rect">
                      <a:avLst/>
                    </a:prstGeom>
                    <a:noFill/>
                  </pic:spPr>
                </pic:pic>
              </a:graphicData>
            </a:graphic>
          </wp:inline>
        </w:drawing>
      </w:r>
    </w:p>
    <w:p w14:paraId="75D6EFF1" w14:textId="77777777" w:rsidR="00316AA4" w:rsidRPr="006E4CBB" w:rsidRDefault="00316AA4" w:rsidP="00095AB1">
      <w:pPr>
        <w:spacing w:after="120"/>
      </w:pPr>
    </w:p>
    <w:p w14:paraId="3334C1CB" w14:textId="289A1792" w:rsidR="00316AA4" w:rsidRDefault="00316AA4" w:rsidP="00095AB1">
      <w:pPr>
        <w:spacing w:after="120"/>
      </w:pPr>
    </w:p>
    <w:p w14:paraId="2041C2E0" w14:textId="28AE66FE" w:rsidR="00321E09" w:rsidRPr="006104EE" w:rsidRDefault="00321E09" w:rsidP="00095AB1">
      <w:pPr>
        <w:spacing w:after="120"/>
        <w:rPr>
          <w:sz w:val="32"/>
          <w:szCs w:val="32"/>
        </w:rPr>
      </w:pPr>
      <w:r>
        <w:br w:type="page"/>
      </w:r>
      <w:bookmarkStart w:id="46" w:name="_Toc509576744"/>
      <w:r w:rsidRPr="006104EE">
        <w:rPr>
          <w:rStyle w:val="Heading1Char"/>
        </w:rPr>
        <w:lastRenderedPageBreak/>
        <w:t>1. Introduction and Purpose of the Study</w:t>
      </w:r>
      <w:bookmarkEnd w:id="46"/>
    </w:p>
    <w:p w14:paraId="451CE5E2" w14:textId="1A922229" w:rsidR="00B323AF" w:rsidRDefault="00321E09" w:rsidP="00095AB1">
      <w:pPr>
        <w:spacing w:after="120"/>
        <w:rPr>
          <w:rFonts w:asciiTheme="minorHAnsi" w:hAnsiTheme="minorHAnsi"/>
        </w:rPr>
      </w:pPr>
      <w:r>
        <w:t xml:space="preserve">This report documents </w:t>
      </w:r>
      <w:r w:rsidR="00F43309" w:rsidRPr="00F43309">
        <w:rPr>
          <w:i/>
        </w:rPr>
        <w:t>ex-post</w:t>
      </w:r>
      <w:r>
        <w:t xml:space="preserve"> </w:t>
      </w:r>
      <w:r w:rsidR="00186A8C">
        <w:t xml:space="preserve">and </w:t>
      </w:r>
      <w:r w:rsidR="00F43309" w:rsidRPr="00F43309">
        <w:rPr>
          <w:i/>
        </w:rPr>
        <w:t>ex-ante</w:t>
      </w:r>
      <w:r w:rsidR="00186A8C">
        <w:t xml:space="preserve"> </w:t>
      </w:r>
      <w:r>
        <w:t xml:space="preserve">load impact evaluations for </w:t>
      </w:r>
      <w:r w:rsidR="002225A8">
        <w:t xml:space="preserve">San Diego </w:t>
      </w:r>
      <w:r>
        <w:t>Gas and Electric Company</w:t>
      </w:r>
      <w:r w:rsidR="00997C53">
        <w:t>’s</w:t>
      </w:r>
      <w:r>
        <w:t xml:space="preserve"> (“</w:t>
      </w:r>
      <w:r w:rsidR="002225A8">
        <w:t>SD</w:t>
      </w:r>
      <w:r>
        <w:t>G&amp;E”)</w:t>
      </w:r>
      <w:r w:rsidR="0028484B">
        <w:t xml:space="preserve"> voluntary</w:t>
      </w:r>
      <w:r w:rsidR="00997C53">
        <w:t xml:space="preserve"> </w:t>
      </w:r>
      <w:r w:rsidR="00964D8B">
        <w:t>residential time of use (TOU) and critical peak pricing (CPP) rates for 201</w:t>
      </w:r>
      <w:r w:rsidR="00095AB1">
        <w:t>7</w:t>
      </w:r>
      <w:r w:rsidR="00964D8B">
        <w:t xml:space="preserve">. </w:t>
      </w:r>
      <w:r w:rsidR="002225A8">
        <w:t>The two rates, referred to collectively as residential smart pricing project (SPP) rates, are TOU-DR (a traditional non-event TOU rate) and TOU-DR-P (a TOU rate with an event-based CPP component).</w:t>
      </w:r>
      <w:r w:rsidR="002F63B4">
        <w:rPr>
          <w:rStyle w:val="FootnoteReference"/>
        </w:rPr>
        <w:footnoteReference w:id="6"/>
      </w:r>
      <w:r w:rsidR="00007D62">
        <w:t xml:space="preserve"> Both rates are voluntary</w:t>
      </w:r>
      <w:r w:rsidR="007E75A0">
        <w:t xml:space="preserve"> </w:t>
      </w:r>
      <w:r w:rsidR="00FC5CB2">
        <w:t xml:space="preserve">and </w:t>
      </w:r>
      <w:r w:rsidR="00007D62">
        <w:t>became active in February 2015.</w:t>
      </w:r>
      <w:r w:rsidR="00FE6171">
        <w:t xml:space="preserve"> </w:t>
      </w:r>
      <w:r w:rsidR="00FC5CB2">
        <w:t>Since the TOU/CPP customers experience TOU rates on days that are not CPP event days, TOU load impacts are estimated for customers enrolled in both rates, while CPP load impacts are estimated only for CPP customers.</w:t>
      </w:r>
      <w:r w:rsidR="00FC5CB2">
        <w:rPr>
          <w:rStyle w:val="FootnoteReference"/>
        </w:rPr>
        <w:footnoteReference w:id="7"/>
      </w:r>
      <w:r w:rsidR="00FC5CB2">
        <w:t xml:space="preserve"> </w:t>
      </w:r>
      <w:r w:rsidR="00EF18D5" w:rsidRPr="009F1F3A">
        <w:rPr>
          <w:rFonts w:asciiTheme="minorHAnsi" w:hAnsiTheme="minorHAnsi"/>
        </w:rPr>
        <w:t>Th</w:t>
      </w:r>
      <w:r w:rsidR="00EF18D5">
        <w:rPr>
          <w:rFonts w:asciiTheme="minorHAnsi" w:hAnsiTheme="minorHAnsi"/>
        </w:rPr>
        <w:t>e</w:t>
      </w:r>
      <w:r w:rsidR="00EF18D5" w:rsidRPr="009F1F3A">
        <w:rPr>
          <w:rFonts w:asciiTheme="minorHAnsi" w:hAnsiTheme="minorHAnsi"/>
        </w:rPr>
        <w:t xml:space="preserve"> evaluation</w:t>
      </w:r>
      <w:r w:rsidR="00EF18D5">
        <w:rPr>
          <w:rFonts w:asciiTheme="minorHAnsi" w:hAnsiTheme="minorHAnsi"/>
        </w:rPr>
        <w:t xml:space="preserve"> also develops </w:t>
      </w:r>
      <w:r w:rsidR="00EF18D5" w:rsidRPr="00A24CEA">
        <w:rPr>
          <w:rFonts w:asciiTheme="minorHAnsi" w:hAnsiTheme="minorHAnsi"/>
          <w:i/>
        </w:rPr>
        <w:t>ex-ante</w:t>
      </w:r>
      <w:r w:rsidR="00EF18D5">
        <w:rPr>
          <w:rFonts w:asciiTheme="minorHAnsi" w:hAnsiTheme="minorHAnsi"/>
        </w:rPr>
        <w:t xml:space="preserve"> load impacts for both rates, with the evaluations </w:t>
      </w:r>
      <w:r w:rsidR="00EF18D5" w:rsidRPr="009F1F3A">
        <w:rPr>
          <w:rFonts w:asciiTheme="minorHAnsi" w:hAnsiTheme="minorHAnsi"/>
        </w:rPr>
        <w:t>conform</w:t>
      </w:r>
      <w:r w:rsidR="00EF18D5">
        <w:rPr>
          <w:rFonts w:asciiTheme="minorHAnsi" w:hAnsiTheme="minorHAnsi"/>
        </w:rPr>
        <w:t>ing</w:t>
      </w:r>
      <w:r w:rsidR="00EF18D5" w:rsidRPr="009F1F3A">
        <w:rPr>
          <w:rFonts w:asciiTheme="minorHAnsi" w:hAnsiTheme="minorHAnsi"/>
        </w:rPr>
        <w:t xml:space="preserve"> to the Load Impact Protocols adopted by the CPUC in D-0</w:t>
      </w:r>
      <w:r w:rsidR="00EF18D5">
        <w:rPr>
          <w:rFonts w:asciiTheme="minorHAnsi" w:hAnsiTheme="minorHAnsi"/>
        </w:rPr>
        <w:t>8</w:t>
      </w:r>
      <w:r w:rsidR="00EF18D5" w:rsidRPr="009F1F3A">
        <w:rPr>
          <w:rFonts w:asciiTheme="minorHAnsi" w:hAnsiTheme="minorHAnsi"/>
        </w:rPr>
        <w:t>-0</w:t>
      </w:r>
      <w:r w:rsidR="00EF18D5">
        <w:rPr>
          <w:rFonts w:asciiTheme="minorHAnsi" w:hAnsiTheme="minorHAnsi"/>
        </w:rPr>
        <w:t>4</w:t>
      </w:r>
      <w:r w:rsidR="00EF18D5" w:rsidRPr="009F1F3A">
        <w:rPr>
          <w:rFonts w:asciiTheme="minorHAnsi" w:hAnsiTheme="minorHAnsi"/>
        </w:rPr>
        <w:t>-050.</w:t>
      </w:r>
    </w:p>
    <w:p w14:paraId="7CFD5F50" w14:textId="7FBD9749" w:rsidR="00B323AF" w:rsidRDefault="002225A8" w:rsidP="00095AB1">
      <w:pPr>
        <w:spacing w:after="120"/>
        <w:rPr>
          <w:rFonts w:asciiTheme="minorHAnsi" w:hAnsiTheme="minorHAnsi"/>
        </w:rPr>
      </w:pPr>
      <w:r>
        <w:rPr>
          <w:rFonts w:asciiTheme="minorHAnsi" w:hAnsiTheme="minorHAnsi"/>
        </w:rPr>
        <w:t>T</w:t>
      </w:r>
      <w:r>
        <w:t xml:space="preserve">he </w:t>
      </w:r>
      <w:r w:rsidR="00F43667">
        <w:t xml:space="preserve">summer </w:t>
      </w:r>
      <w:r>
        <w:t xml:space="preserve">TOU periods in the two rates are centered around an on-peak period of 11 a.m. to 6 p.m. on non-holiday weekdays, which is surrounded by morning and evening semi-peak periods, and an overnight off-peak period. On </w:t>
      </w:r>
      <w:r w:rsidR="00F23CC4">
        <w:t>winter</w:t>
      </w:r>
      <w:r>
        <w:t xml:space="preserve"> weekdays, the on-peak period is 5 p.m. to 8 p.m., with semi-peak periods in the morning, afternoon and evening hours, and an overnight off-peak period. Weekend and holiday hours are all off-peak.</w:t>
      </w:r>
      <w:r w:rsidR="00FC106E">
        <w:t xml:space="preserve"> The CPP rate may be called during the 11 a.m. to 6 p.m. period on any day (including weekends) throughout the year.</w:t>
      </w:r>
    </w:p>
    <w:p w14:paraId="10E0FE5C" w14:textId="6ABDB611" w:rsidR="00F43667" w:rsidRPr="00153D58" w:rsidRDefault="00700A8F" w:rsidP="00095AB1">
      <w:pPr>
        <w:pStyle w:val="BodyText"/>
      </w:pPr>
      <w:r>
        <w:t xml:space="preserve">In the future, the on-peak periods will be different. Specifically, </w:t>
      </w:r>
      <w:r w:rsidR="0028484B">
        <w:t xml:space="preserve">SDG&amp;E </w:t>
      </w:r>
      <w:r>
        <w:t xml:space="preserve">has made changes, effective Dec 1, 2017, in the hours of the pricing periods of its TOU rates, which now have an on-peak period of 4 p.m. to 9 p.m., beginning and ending later than the rates evaluated in this PY2017 study. </w:t>
      </w:r>
      <w:r w:rsidR="00E16E8C">
        <w:t>These</w:t>
      </w:r>
      <w:r w:rsidR="007E75A0">
        <w:t xml:space="preserve"> </w:t>
      </w:r>
      <w:r w:rsidR="00CF72CA">
        <w:t xml:space="preserve">rate changes </w:t>
      </w:r>
      <w:r w:rsidR="007E75A0">
        <w:t xml:space="preserve">have arisen from </w:t>
      </w:r>
      <w:r w:rsidR="00F43667">
        <w:t xml:space="preserve">recent changes in the patterns of the utility’s and the state’s system load profiles due to increases in solar generation (both central station and rooftop photovoltaics). </w:t>
      </w:r>
      <w:r w:rsidR="0028484B">
        <w:t>These increases in solar tend to delay peak demands for purchased power to later in the day than the previous norm, as solar production falls in the evening hours.</w:t>
      </w:r>
      <w:r w:rsidR="00F43667">
        <w:t xml:space="preserve"> </w:t>
      </w:r>
    </w:p>
    <w:p w14:paraId="378B894B" w14:textId="2B3B79DD" w:rsidR="00321E09" w:rsidRDefault="00321E09" w:rsidP="00095AB1">
      <w:pPr>
        <w:spacing w:after="120"/>
      </w:pPr>
      <w:r w:rsidRPr="00DD49B6">
        <w:t xml:space="preserve">The report is organized </w:t>
      </w:r>
      <w:r w:rsidR="00D76851">
        <w:t>as follows. Section 2 contains</w:t>
      </w:r>
      <w:r w:rsidRPr="00DD49B6">
        <w:t xml:space="preserve"> description</w:t>
      </w:r>
      <w:r w:rsidR="00D76851">
        <w:t>s</w:t>
      </w:r>
      <w:r w:rsidRPr="00DD49B6">
        <w:t xml:space="preserve"> of the </w:t>
      </w:r>
      <w:r w:rsidR="00107507">
        <w:t xml:space="preserve">TOU </w:t>
      </w:r>
      <w:r w:rsidR="008235C4">
        <w:t xml:space="preserve">and CPP </w:t>
      </w:r>
      <w:r w:rsidR="00107507">
        <w:t>rates</w:t>
      </w:r>
      <w:r w:rsidRPr="00DD49B6">
        <w:t xml:space="preserve">; Section 3 describes the </w:t>
      </w:r>
      <w:r w:rsidR="00FC106E">
        <w:t xml:space="preserve">evaluation </w:t>
      </w:r>
      <w:r w:rsidRPr="00DD49B6">
        <w:t xml:space="preserve">methods used in the study; Section 4 contains the </w:t>
      </w:r>
      <w:r w:rsidR="008235C4">
        <w:t xml:space="preserve">CPP </w:t>
      </w:r>
      <w:r w:rsidR="00F43309" w:rsidRPr="00F43309">
        <w:rPr>
          <w:i/>
        </w:rPr>
        <w:t>ex-post</w:t>
      </w:r>
      <w:r w:rsidRPr="00DD49B6">
        <w:t xml:space="preserve"> load impact results;</w:t>
      </w:r>
      <w:r w:rsidR="004F33D7">
        <w:t xml:space="preserve"> </w:t>
      </w:r>
      <w:r w:rsidR="00FC106E">
        <w:t xml:space="preserve">and </w:t>
      </w:r>
      <w:r w:rsidR="004F33D7" w:rsidRPr="00DD49B6">
        <w:t xml:space="preserve">Section </w:t>
      </w:r>
      <w:r w:rsidR="004F33D7">
        <w:t>5</w:t>
      </w:r>
      <w:r w:rsidR="004F33D7" w:rsidRPr="00DD49B6">
        <w:t xml:space="preserve"> </w:t>
      </w:r>
      <w:r w:rsidR="00D76851" w:rsidRPr="00DD49B6">
        <w:t xml:space="preserve">contains the </w:t>
      </w:r>
      <w:r w:rsidR="00D76851">
        <w:t xml:space="preserve">TOU </w:t>
      </w:r>
      <w:r w:rsidR="00D76851" w:rsidRPr="00F43309">
        <w:rPr>
          <w:i/>
        </w:rPr>
        <w:t>ex-post</w:t>
      </w:r>
      <w:r w:rsidR="00D76851" w:rsidRPr="00DD49B6">
        <w:t xml:space="preserve"> load impact results</w:t>
      </w:r>
      <w:r w:rsidR="00D76851">
        <w:t xml:space="preserve">. </w:t>
      </w:r>
      <w:r w:rsidR="00047B5B" w:rsidRPr="00DD49B6">
        <w:t xml:space="preserve">Section </w:t>
      </w:r>
      <w:r w:rsidR="00FC106E">
        <w:t>6</w:t>
      </w:r>
      <w:r w:rsidR="00047B5B" w:rsidRPr="00DD49B6">
        <w:t xml:space="preserve"> describes the</w:t>
      </w:r>
      <w:r w:rsidR="00D76851">
        <w:t xml:space="preserve"> methods</w:t>
      </w:r>
      <w:r w:rsidR="0064289B">
        <w:t xml:space="preserve"> used to develop the </w:t>
      </w:r>
      <w:r w:rsidR="008235C4">
        <w:t>CPP</w:t>
      </w:r>
      <w:r w:rsidR="0047486A">
        <w:t xml:space="preserve"> and TOU</w:t>
      </w:r>
      <w:r w:rsidR="0064289B">
        <w:t xml:space="preserve"> </w:t>
      </w:r>
      <w:r w:rsidR="0064289B" w:rsidRPr="0064289B">
        <w:rPr>
          <w:i/>
        </w:rPr>
        <w:t>ex-ante</w:t>
      </w:r>
      <w:r w:rsidR="0064289B">
        <w:t xml:space="preserve"> load impacts and the associated results. </w:t>
      </w:r>
      <w:r w:rsidR="00DD49B6" w:rsidRPr="00DD49B6">
        <w:t xml:space="preserve">Section </w:t>
      </w:r>
      <w:r w:rsidR="00FC106E">
        <w:t>7</w:t>
      </w:r>
      <w:r w:rsidR="00DD49B6" w:rsidRPr="00DD49B6">
        <w:t xml:space="preserve"> </w:t>
      </w:r>
      <w:r w:rsidRPr="00DD49B6">
        <w:t xml:space="preserve">provides </w:t>
      </w:r>
      <w:r w:rsidR="009E5C4E">
        <w:t xml:space="preserve">a series of comparisons of </w:t>
      </w:r>
      <w:r w:rsidR="009E5C4E" w:rsidRPr="0052584F">
        <w:rPr>
          <w:i/>
        </w:rPr>
        <w:t>ex-post</w:t>
      </w:r>
      <w:r w:rsidR="009E5C4E">
        <w:t xml:space="preserve"> and </w:t>
      </w:r>
      <w:r w:rsidR="009E5C4E" w:rsidRPr="0052584F">
        <w:rPr>
          <w:i/>
        </w:rPr>
        <w:t>ex-ante</w:t>
      </w:r>
      <w:r w:rsidR="009E5C4E">
        <w:t xml:space="preserve"> results. Section </w:t>
      </w:r>
      <w:r w:rsidR="0047486A">
        <w:t>8</w:t>
      </w:r>
      <w:r w:rsidR="009E5C4E">
        <w:t xml:space="preserve"> provides </w:t>
      </w:r>
      <w:r w:rsidRPr="00DD49B6">
        <w:t>recommendations.</w:t>
      </w:r>
      <w:r w:rsidRPr="009068D9">
        <w:t xml:space="preserve"> </w:t>
      </w:r>
    </w:p>
    <w:p w14:paraId="4F147638" w14:textId="43380099" w:rsidR="000409E9" w:rsidRDefault="00321E09" w:rsidP="00095AB1">
      <w:pPr>
        <w:pStyle w:val="Heading1"/>
        <w:spacing w:after="120"/>
      </w:pPr>
      <w:bookmarkStart w:id="47" w:name="_Toc509576745"/>
      <w:r>
        <w:lastRenderedPageBreak/>
        <w:t xml:space="preserve">2. Description of </w:t>
      </w:r>
      <w:r w:rsidR="007E75A0">
        <w:t xml:space="preserve">SPP </w:t>
      </w:r>
      <w:r w:rsidR="004F33D7">
        <w:t>Rates</w:t>
      </w:r>
      <w:bookmarkEnd w:id="47"/>
      <w:r w:rsidR="004F33D7">
        <w:t xml:space="preserve"> </w:t>
      </w:r>
    </w:p>
    <w:p w14:paraId="63480850" w14:textId="30E0D56B" w:rsidR="00CA54D4" w:rsidRDefault="009020BE" w:rsidP="00095AB1">
      <w:pPr>
        <w:spacing w:after="120"/>
      </w:pPr>
      <w:r>
        <w:t xml:space="preserve">As noted in the introduction, </w:t>
      </w:r>
      <w:r w:rsidR="00E16E8C">
        <w:t xml:space="preserve">the current TOU </w:t>
      </w:r>
      <w:r w:rsidR="002673CF">
        <w:t>on-peak period</w:t>
      </w:r>
      <w:r w:rsidR="00E16E8C">
        <w:t xml:space="preserve"> in </w:t>
      </w:r>
      <w:r w:rsidR="0047486A">
        <w:t>s</w:t>
      </w:r>
      <w:r w:rsidR="00E16E8C">
        <w:t xml:space="preserve">ummer </w:t>
      </w:r>
      <w:r w:rsidR="002673CF">
        <w:t xml:space="preserve">is </w:t>
      </w:r>
      <w:r w:rsidR="00E16E8C">
        <w:t xml:space="preserve">11 a.m. to 6 p.m. on non-holiday weekdays, </w:t>
      </w:r>
      <w:r w:rsidR="002673CF">
        <w:t>with</w:t>
      </w:r>
      <w:r w:rsidR="00E16E8C">
        <w:t xml:space="preserve"> morning and evening semi-peak periods</w:t>
      </w:r>
      <w:r w:rsidR="002673CF">
        <w:t xml:space="preserve"> before and after</w:t>
      </w:r>
      <w:r w:rsidR="00E16E8C">
        <w:t xml:space="preserve">, and an overnight off-peak period. On </w:t>
      </w:r>
      <w:r w:rsidR="0047486A">
        <w:t>winter</w:t>
      </w:r>
      <w:r w:rsidR="00E16E8C">
        <w:t xml:space="preserve"> weekdays, the on-peak period is 5 p.m. to 8 p.m., with semi-peak periods in the morning, afternoon and evening hours, and an overnight off-peak period. Weekend and holiday hours are all off-peak. CPP events </w:t>
      </w:r>
      <w:r w:rsidR="002673CF">
        <w:t xml:space="preserve">are </w:t>
      </w:r>
      <w:r w:rsidR="00E16E8C">
        <w:t>called in conjunction with SDG&amp;E’s Reduce Your Use (RYU) program</w:t>
      </w:r>
      <w:r w:rsidR="007673F9">
        <w:t>, a peak time rebate program</w:t>
      </w:r>
      <w:r w:rsidR="00E16E8C">
        <w:t xml:space="preserve">. </w:t>
      </w:r>
      <w:r w:rsidR="002673CF">
        <w:t xml:space="preserve">Up to 18 RYU events can be triggered per year, on any day of the week, at any time during the year. </w:t>
      </w:r>
      <w:r w:rsidR="00D35F3A">
        <w:t xml:space="preserve">Three RYU/CPP events were called in 2017, on the consecutive days of August 31, September 1, and September 2, which was a Saturday. </w:t>
      </w:r>
    </w:p>
    <w:p w14:paraId="4D4A9C21" w14:textId="6A948404" w:rsidR="00E16E8C" w:rsidRDefault="00CA54D4" w:rsidP="00095AB1">
      <w:pPr>
        <w:spacing w:after="120"/>
      </w:pPr>
      <w:r>
        <w:t>TOU prices apply only to SDG&amp;E’s commodity energy charges, which are $0.183, $0.131, and $0.092 per kWh for the summer on-peak, semi-peak, and off-peak periods respectively. Thus, the peak to off-peak price ratio is approximately two-to-one.</w:t>
      </w:r>
      <w:r>
        <w:rPr>
          <w:rStyle w:val="FootnoteReference"/>
        </w:rPr>
        <w:footnoteReference w:id="8"/>
      </w:r>
      <w:r>
        <w:t xml:space="preserve"> </w:t>
      </w:r>
      <w:r w:rsidR="00CA43E1">
        <w:t>Summer TOU commodity prices for CPP (TOU-DR-P) customers are somewhat lower, at $0.138, $0.127, and $0.057 per kWh, implying a peak to off-peak price ratio of approximately 2.4 to one. In addition, a</w:t>
      </w:r>
      <w:r w:rsidR="00E16E8C">
        <w:t xml:space="preserve"> CPP </w:t>
      </w:r>
      <w:r w:rsidR="00CA43E1">
        <w:t>event-</w:t>
      </w:r>
      <w:r w:rsidR="002673CF">
        <w:t>period</w:t>
      </w:r>
      <w:r w:rsidR="00E16E8C">
        <w:t xml:space="preserve"> </w:t>
      </w:r>
      <w:r w:rsidR="002673CF">
        <w:t xml:space="preserve">adder </w:t>
      </w:r>
      <w:r w:rsidR="00E16E8C">
        <w:t xml:space="preserve">of $1.16/kWh applies </w:t>
      </w:r>
      <w:r w:rsidR="002673CF">
        <w:t>on event days</w:t>
      </w:r>
      <w:r w:rsidR="00E16E8C">
        <w:t xml:space="preserve">. </w:t>
      </w:r>
    </w:p>
    <w:p w14:paraId="69674D41" w14:textId="32248BFA" w:rsidR="00DE549A" w:rsidRDefault="00F430DB" w:rsidP="00095AB1">
      <w:pPr>
        <w:spacing w:after="120"/>
      </w:pPr>
      <w:r>
        <w:t>CP</w:t>
      </w:r>
      <w:r w:rsidR="002673CF">
        <w:t>P</w:t>
      </w:r>
      <w:r>
        <w:t xml:space="preserve"> p</w:t>
      </w:r>
      <w:r w:rsidR="002673CF">
        <w:t xml:space="preserve">articipants are </w:t>
      </w:r>
      <w:r w:rsidR="006E2F31">
        <w:t xml:space="preserve">generally </w:t>
      </w:r>
      <w:r w:rsidR="002673CF">
        <w:t>notified of events by 3 p.m. on the business day prior to the event, and several notification options are available, including email and text.</w:t>
      </w:r>
      <w:r w:rsidR="002673CF" w:rsidRPr="002673CF">
        <w:t xml:space="preserve"> </w:t>
      </w:r>
      <w:r w:rsidR="002673CF">
        <w:t xml:space="preserve">For the first full season following their enrollment, CPP participants are eligible for </w:t>
      </w:r>
      <w:r w:rsidR="002673CF" w:rsidRPr="00DE549A">
        <w:rPr>
          <w:i/>
        </w:rPr>
        <w:t>bill protection</w:t>
      </w:r>
      <w:r w:rsidR="002673CF">
        <w:t>, which guarantees that their bill will be no larger than what it would have been under their otherwise applicable tariff.</w:t>
      </w:r>
    </w:p>
    <w:p w14:paraId="4628628E" w14:textId="44062EDB" w:rsidR="00465203" w:rsidRDefault="0047486A" w:rsidP="00095AB1">
      <w:pPr>
        <w:spacing w:after="120"/>
      </w:pPr>
      <w:r>
        <w:t>In addition to</w:t>
      </w:r>
      <w:r w:rsidR="00465203">
        <w:t xml:space="preserve"> the </w:t>
      </w:r>
      <w:r w:rsidR="00CF72CA">
        <w:t xml:space="preserve">upcoming </w:t>
      </w:r>
      <w:r w:rsidR="00465203">
        <w:t xml:space="preserve">changes to the TOU and CPP pricing periods, SDG&amp;E has </w:t>
      </w:r>
      <w:r w:rsidR="00CF72CA">
        <w:t xml:space="preserve">also changed the </w:t>
      </w:r>
      <w:r w:rsidR="00465203">
        <w:t xml:space="preserve">terminology </w:t>
      </w:r>
      <w:r w:rsidR="00CF72CA">
        <w:t>describing the periods. T</w:t>
      </w:r>
      <w:r w:rsidR="00465203">
        <w:t xml:space="preserve">he </w:t>
      </w:r>
      <w:r w:rsidR="00CF72CA">
        <w:t xml:space="preserve">former </w:t>
      </w:r>
      <w:r w:rsidR="00465203" w:rsidRPr="00F43667">
        <w:rPr>
          <w:i/>
        </w:rPr>
        <w:t>semi-peak</w:t>
      </w:r>
      <w:r w:rsidR="00465203">
        <w:t xml:space="preserve"> period will be re-labeled </w:t>
      </w:r>
      <w:r w:rsidR="00465203" w:rsidRPr="00F43667">
        <w:rPr>
          <w:i/>
        </w:rPr>
        <w:t>off-peak</w:t>
      </w:r>
      <w:r w:rsidR="00465203">
        <w:t xml:space="preserve">, and the </w:t>
      </w:r>
      <w:r w:rsidR="00CF72CA">
        <w:t xml:space="preserve">former </w:t>
      </w:r>
      <w:r w:rsidR="00465203" w:rsidRPr="00F43667">
        <w:rPr>
          <w:i/>
        </w:rPr>
        <w:t>off-peak</w:t>
      </w:r>
      <w:r w:rsidR="00465203">
        <w:t xml:space="preserve"> period will be called the </w:t>
      </w:r>
      <w:r w:rsidR="00465203" w:rsidRPr="00F43667">
        <w:rPr>
          <w:i/>
        </w:rPr>
        <w:t>super off-peak</w:t>
      </w:r>
      <w:r w:rsidR="00465203">
        <w:t xml:space="preserve"> period. The changes </w:t>
      </w:r>
      <w:r w:rsidR="00CF72CA">
        <w:t>include</w:t>
      </w:r>
      <w:r w:rsidR="00465203">
        <w:t xml:space="preserve"> the following:</w:t>
      </w:r>
    </w:p>
    <w:p w14:paraId="1659B01D" w14:textId="20716DD1" w:rsidR="00465203" w:rsidRPr="008235C4" w:rsidRDefault="00465203" w:rsidP="00095AB1">
      <w:pPr>
        <w:pStyle w:val="ListParagraph"/>
        <w:numPr>
          <w:ilvl w:val="0"/>
          <w:numId w:val="34"/>
        </w:numPr>
        <w:spacing w:after="120"/>
        <w:rPr>
          <w:rFonts w:ascii="Calibri" w:hAnsi="Calibri"/>
        </w:rPr>
      </w:pPr>
      <w:r w:rsidRPr="008235C4">
        <w:rPr>
          <w:rFonts w:ascii="Calibri" w:hAnsi="Calibri"/>
        </w:rPr>
        <w:t xml:space="preserve">Change the </w:t>
      </w:r>
      <w:r w:rsidR="0047486A">
        <w:rPr>
          <w:rFonts w:ascii="Calibri" w:hAnsi="Calibri"/>
        </w:rPr>
        <w:t>s</w:t>
      </w:r>
      <w:r w:rsidRPr="008235C4">
        <w:rPr>
          <w:rFonts w:ascii="Calibri" w:hAnsi="Calibri"/>
        </w:rPr>
        <w:t>ummer on-peak period to 4 p.m. to 9 p.m. on weekdays</w:t>
      </w:r>
      <w:r w:rsidR="00476BFA">
        <w:rPr>
          <w:rFonts w:ascii="Calibri" w:hAnsi="Calibri"/>
        </w:rPr>
        <w:t>, weekends, and holidays</w:t>
      </w:r>
      <w:r w:rsidRPr="008235C4">
        <w:rPr>
          <w:rFonts w:ascii="Calibri" w:hAnsi="Calibri"/>
        </w:rPr>
        <w:t>;</w:t>
      </w:r>
    </w:p>
    <w:p w14:paraId="09C609CD" w14:textId="5E560FF9" w:rsidR="00465203" w:rsidRPr="008235C4" w:rsidRDefault="00465203" w:rsidP="00095AB1">
      <w:pPr>
        <w:pStyle w:val="ListParagraph"/>
        <w:numPr>
          <w:ilvl w:val="0"/>
          <w:numId w:val="34"/>
        </w:numPr>
        <w:spacing w:after="120"/>
        <w:rPr>
          <w:rFonts w:ascii="Calibri" w:hAnsi="Calibri"/>
        </w:rPr>
      </w:pPr>
      <w:r w:rsidRPr="008235C4">
        <w:rPr>
          <w:rFonts w:ascii="Calibri" w:hAnsi="Calibri"/>
        </w:rPr>
        <w:t xml:space="preserve">Change the </w:t>
      </w:r>
      <w:r w:rsidR="0047486A">
        <w:rPr>
          <w:rFonts w:ascii="Calibri" w:hAnsi="Calibri"/>
        </w:rPr>
        <w:t>winter</w:t>
      </w:r>
      <w:r w:rsidRPr="008235C4">
        <w:rPr>
          <w:rFonts w:ascii="Calibri" w:hAnsi="Calibri"/>
        </w:rPr>
        <w:t xml:space="preserve"> on-peak period to 4 p.m. to 9 p.m. on weekdays</w:t>
      </w:r>
      <w:r w:rsidR="00476BFA">
        <w:rPr>
          <w:rFonts w:ascii="Calibri" w:hAnsi="Calibri"/>
        </w:rPr>
        <w:t>, weekends, and holidays</w:t>
      </w:r>
      <w:r w:rsidRPr="008235C4">
        <w:rPr>
          <w:rFonts w:ascii="Calibri" w:hAnsi="Calibri"/>
        </w:rPr>
        <w:t>;</w:t>
      </w:r>
    </w:p>
    <w:p w14:paraId="0D72B8F8" w14:textId="74E20EC1" w:rsidR="00465203" w:rsidRPr="008235C4" w:rsidRDefault="00465203" w:rsidP="00095AB1">
      <w:pPr>
        <w:pStyle w:val="ListParagraph"/>
        <w:numPr>
          <w:ilvl w:val="0"/>
          <w:numId w:val="34"/>
        </w:numPr>
        <w:spacing w:after="120"/>
        <w:rPr>
          <w:rFonts w:ascii="Calibri" w:hAnsi="Calibri"/>
        </w:rPr>
      </w:pPr>
      <w:r w:rsidRPr="008235C4">
        <w:rPr>
          <w:rFonts w:ascii="Calibri" w:hAnsi="Calibri"/>
        </w:rPr>
        <w:t xml:space="preserve">Change the </w:t>
      </w:r>
      <w:r w:rsidR="0047486A">
        <w:rPr>
          <w:rFonts w:ascii="Calibri" w:hAnsi="Calibri"/>
        </w:rPr>
        <w:t>s</w:t>
      </w:r>
      <w:r w:rsidRPr="008235C4">
        <w:rPr>
          <w:rFonts w:ascii="Calibri" w:hAnsi="Calibri"/>
        </w:rPr>
        <w:t>uper off-peak period to 12 a.m. to 6 a.m. on weekdays</w:t>
      </w:r>
      <w:r w:rsidR="00AC2A02">
        <w:rPr>
          <w:rFonts w:ascii="Calibri" w:hAnsi="Calibri"/>
        </w:rPr>
        <w:t xml:space="preserve">, </w:t>
      </w:r>
      <w:r w:rsidR="00476BFA">
        <w:rPr>
          <w:rFonts w:ascii="Calibri" w:hAnsi="Calibri"/>
        </w:rPr>
        <w:t>and</w:t>
      </w:r>
      <w:r w:rsidR="00AC2A02">
        <w:rPr>
          <w:rFonts w:ascii="Calibri" w:hAnsi="Calibri"/>
        </w:rPr>
        <w:t xml:space="preserve"> 10 a.m. to 2 a.m. </w:t>
      </w:r>
      <w:r w:rsidR="00476BFA">
        <w:rPr>
          <w:rFonts w:ascii="Calibri" w:hAnsi="Calibri"/>
        </w:rPr>
        <w:t xml:space="preserve">on </w:t>
      </w:r>
      <w:r w:rsidR="00AC2A02">
        <w:rPr>
          <w:rFonts w:ascii="Calibri" w:hAnsi="Calibri"/>
        </w:rPr>
        <w:t>March and April</w:t>
      </w:r>
      <w:r w:rsidR="00476BFA">
        <w:rPr>
          <w:rFonts w:ascii="Calibri" w:hAnsi="Calibri"/>
        </w:rPr>
        <w:t xml:space="preserve"> weekdays</w:t>
      </w:r>
      <w:r w:rsidR="00AC2A02">
        <w:rPr>
          <w:rFonts w:ascii="Calibri" w:hAnsi="Calibri"/>
        </w:rPr>
        <w:t>,</w:t>
      </w:r>
      <w:r w:rsidRPr="008235C4">
        <w:rPr>
          <w:rFonts w:ascii="Calibri" w:hAnsi="Calibri"/>
        </w:rPr>
        <w:t xml:space="preserve"> and 12 a.m. to 2 p.m. on weekends and holidays;</w:t>
      </w:r>
    </w:p>
    <w:p w14:paraId="052EBE1D" w14:textId="77777777" w:rsidR="00465203" w:rsidRPr="008235C4" w:rsidRDefault="00465203" w:rsidP="00095AB1">
      <w:pPr>
        <w:pStyle w:val="ListParagraph"/>
        <w:numPr>
          <w:ilvl w:val="0"/>
          <w:numId w:val="34"/>
        </w:numPr>
        <w:spacing w:after="120"/>
        <w:rPr>
          <w:rFonts w:ascii="Calibri" w:hAnsi="Calibri"/>
        </w:rPr>
      </w:pPr>
      <w:r w:rsidRPr="008235C4">
        <w:rPr>
          <w:rFonts w:ascii="Calibri" w:hAnsi="Calibri"/>
        </w:rPr>
        <w:t>All hours not in the above on-peak and super-off-peak periods are off-peak;</w:t>
      </w:r>
    </w:p>
    <w:p w14:paraId="6D4024F7" w14:textId="57076BC9" w:rsidR="00465203" w:rsidRPr="008235C4" w:rsidRDefault="00465203" w:rsidP="00095AB1">
      <w:pPr>
        <w:pStyle w:val="ListParagraph"/>
        <w:numPr>
          <w:ilvl w:val="0"/>
          <w:numId w:val="34"/>
        </w:numPr>
        <w:spacing w:after="120"/>
        <w:rPr>
          <w:rFonts w:ascii="Calibri" w:hAnsi="Calibri"/>
        </w:rPr>
      </w:pPr>
      <w:r w:rsidRPr="008235C4">
        <w:rPr>
          <w:rFonts w:ascii="Calibri" w:hAnsi="Calibri"/>
        </w:rPr>
        <w:t xml:space="preserve">The CPP period is reduced to 2 p.m. to 6 p.m. </w:t>
      </w:r>
      <w:r w:rsidR="0031108C" w:rsidRPr="008235C4">
        <w:rPr>
          <w:rFonts w:ascii="Calibri" w:hAnsi="Calibri"/>
        </w:rPr>
        <w:t>year-round</w:t>
      </w:r>
      <w:r w:rsidRPr="008235C4">
        <w:rPr>
          <w:rFonts w:ascii="Calibri" w:hAnsi="Calibri"/>
        </w:rPr>
        <w:t>.</w:t>
      </w:r>
    </w:p>
    <w:p w14:paraId="1DA06480" w14:textId="17482223" w:rsidR="00465203" w:rsidRPr="002673CF" w:rsidRDefault="00465203" w:rsidP="00095AB1">
      <w:pPr>
        <w:pStyle w:val="BodyText"/>
      </w:pPr>
      <w:r>
        <w:t xml:space="preserve">Since the </w:t>
      </w:r>
      <w:r w:rsidR="00CC4062">
        <w:t xml:space="preserve">recent </w:t>
      </w:r>
      <w:r>
        <w:t xml:space="preserve">changes in peak pricing periods </w:t>
      </w:r>
      <w:r w:rsidR="00CC4062">
        <w:t xml:space="preserve">had </w:t>
      </w:r>
      <w:r>
        <w:t>not yet been approved</w:t>
      </w:r>
      <w:r w:rsidR="00CC4062">
        <w:t xml:space="preserve"> during the PY2017 </w:t>
      </w:r>
      <w:r w:rsidR="00CF72CA">
        <w:t>period</w:t>
      </w:r>
      <w:r>
        <w:t xml:space="preserve">, SDG&amp;E has delayed active marketing of the SPP rates to avoid confusion </w:t>
      </w:r>
      <w:r>
        <w:lastRenderedPageBreak/>
        <w:t>on the part of customers should the rates change. Instead, it has enrolled customers primarily in response to high bill complaints.</w:t>
      </w:r>
    </w:p>
    <w:p w14:paraId="23BACC9C" w14:textId="5CDB4748" w:rsidR="00321E09" w:rsidRDefault="00321E09" w:rsidP="00095AB1">
      <w:pPr>
        <w:pStyle w:val="Heading1"/>
        <w:spacing w:before="480" w:after="120"/>
      </w:pPr>
      <w:bookmarkStart w:id="48" w:name="_Toc509576746"/>
      <w:r>
        <w:t xml:space="preserve">3. </w:t>
      </w:r>
      <w:r w:rsidR="0023738E">
        <w:rPr>
          <w:i/>
        </w:rPr>
        <w:t>Ex-Post</w:t>
      </w:r>
      <w:r w:rsidR="00A61498">
        <w:t xml:space="preserve"> Evaluation</w:t>
      </w:r>
      <w:r>
        <w:t xml:space="preserve"> Methodology</w:t>
      </w:r>
      <w:bookmarkEnd w:id="48"/>
      <w:r w:rsidR="00A61498">
        <w:t xml:space="preserve"> </w:t>
      </w:r>
    </w:p>
    <w:p w14:paraId="6CEFF477" w14:textId="6849615D" w:rsidR="008C3673" w:rsidRPr="006A1B70" w:rsidRDefault="008C3673" w:rsidP="00095AB1">
      <w:pPr>
        <w:spacing w:after="120"/>
      </w:pPr>
      <w:r w:rsidRPr="006A1B70">
        <w:t xml:space="preserve">The </w:t>
      </w:r>
      <w:r>
        <w:t xml:space="preserve">primary </w:t>
      </w:r>
      <w:r w:rsidRPr="006A1B70">
        <w:t xml:space="preserve">objectives of the </w:t>
      </w:r>
      <w:r w:rsidRPr="00F72C7A">
        <w:rPr>
          <w:i/>
        </w:rPr>
        <w:t>ex</w:t>
      </w:r>
      <w:r w:rsidR="004D3C9C">
        <w:rPr>
          <w:i/>
        </w:rPr>
        <w:t>-</w:t>
      </w:r>
      <w:r w:rsidRPr="00F72C7A">
        <w:rPr>
          <w:i/>
        </w:rPr>
        <w:t>post</w:t>
      </w:r>
      <w:r w:rsidRPr="006A1B70">
        <w:t xml:space="preserve"> impact evaluation </w:t>
      </w:r>
      <w:r>
        <w:t xml:space="preserve">were described in Section 1. </w:t>
      </w:r>
      <w:r w:rsidRPr="006A1B70">
        <w:t xml:space="preserve">This section describes the data and </w:t>
      </w:r>
      <w:r>
        <w:t xml:space="preserve">specific </w:t>
      </w:r>
      <w:r w:rsidRPr="006A1B70">
        <w:t>methods that we</w:t>
      </w:r>
      <w:r w:rsidR="00F430DB">
        <w:t>re</w:t>
      </w:r>
      <w:r w:rsidRPr="006A1B70">
        <w:t xml:space="preserve"> use</w:t>
      </w:r>
      <w:r w:rsidR="00E5785C">
        <w:t>d</w:t>
      </w:r>
      <w:r w:rsidR="00F430DB">
        <w:t xml:space="preserve"> in the study</w:t>
      </w:r>
      <w:r w:rsidRPr="006A1B70">
        <w:t>.</w:t>
      </w:r>
    </w:p>
    <w:p w14:paraId="4C827277" w14:textId="2EB8BDD4" w:rsidR="008C3673" w:rsidRPr="006A1B70" w:rsidRDefault="008C3673" w:rsidP="00095AB1">
      <w:pPr>
        <w:pStyle w:val="Heading2"/>
        <w:spacing w:after="120"/>
      </w:pPr>
      <w:bookmarkStart w:id="49" w:name="_Toc326148609"/>
      <w:bookmarkStart w:id="50" w:name="_Toc343076492"/>
      <w:bookmarkStart w:id="51" w:name="_Toc509576747"/>
      <w:r>
        <w:t xml:space="preserve">3.1 </w:t>
      </w:r>
      <w:r w:rsidRPr="006A1B70">
        <w:t>Data</w:t>
      </w:r>
      <w:bookmarkEnd w:id="49"/>
      <w:bookmarkEnd w:id="50"/>
      <w:bookmarkEnd w:id="51"/>
    </w:p>
    <w:p w14:paraId="436E152C" w14:textId="5974A105" w:rsidR="008C3673" w:rsidRDefault="0047486A" w:rsidP="00095AB1">
      <w:pPr>
        <w:spacing w:after="120"/>
      </w:pPr>
      <w:r>
        <w:t>An a</w:t>
      </w:r>
      <w:r w:rsidR="008C3673" w:rsidRPr="006A1B70">
        <w:t>nalysis that addresses each of the load impact objectives listed in Section 1 requires the following types of data:</w:t>
      </w:r>
    </w:p>
    <w:p w14:paraId="712F1FEF" w14:textId="00B710CF" w:rsidR="008C3673" w:rsidRPr="00CB6333" w:rsidRDefault="008C3673" w:rsidP="00095AB1">
      <w:pPr>
        <w:numPr>
          <w:ilvl w:val="0"/>
          <w:numId w:val="35"/>
        </w:numPr>
        <w:spacing w:after="120"/>
        <w:rPr>
          <w:szCs w:val="32"/>
        </w:rPr>
      </w:pPr>
      <w:r w:rsidRPr="00CB6333">
        <w:rPr>
          <w:i/>
          <w:szCs w:val="32"/>
        </w:rPr>
        <w:t>Customer</w:t>
      </w:r>
      <w:r w:rsidRPr="00CB6333">
        <w:rPr>
          <w:szCs w:val="32"/>
        </w:rPr>
        <w:t xml:space="preserve"> information for the residential TOU and </w:t>
      </w:r>
      <w:r w:rsidR="005E5D58">
        <w:rPr>
          <w:szCs w:val="32"/>
        </w:rPr>
        <w:t>CPP</w:t>
      </w:r>
      <w:r w:rsidRPr="00CB6333">
        <w:rPr>
          <w:szCs w:val="32"/>
        </w:rPr>
        <w:t xml:space="preserve"> enrollees and potential control group customers (</w:t>
      </w:r>
      <w:r w:rsidRPr="00CB6333">
        <w:rPr>
          <w:i/>
          <w:szCs w:val="32"/>
        </w:rPr>
        <w:t>e.g</w:t>
      </w:r>
      <w:r w:rsidRPr="00CB6333">
        <w:rPr>
          <w:szCs w:val="32"/>
        </w:rPr>
        <w:t>., location indicator for matching to climate zone, and a summary indicator of their usage level);</w:t>
      </w:r>
    </w:p>
    <w:p w14:paraId="37E903B1" w14:textId="2C0A4193" w:rsidR="008C3673" w:rsidRPr="00CB6333" w:rsidRDefault="008C3673" w:rsidP="00095AB1">
      <w:pPr>
        <w:numPr>
          <w:ilvl w:val="0"/>
          <w:numId w:val="35"/>
        </w:numPr>
        <w:spacing w:after="120"/>
        <w:rPr>
          <w:szCs w:val="32"/>
        </w:rPr>
      </w:pPr>
      <w:r w:rsidRPr="00CB6333">
        <w:rPr>
          <w:szCs w:val="32"/>
        </w:rPr>
        <w:t xml:space="preserve">Billing-based </w:t>
      </w:r>
      <w:r w:rsidRPr="00CB6333">
        <w:rPr>
          <w:i/>
          <w:szCs w:val="32"/>
        </w:rPr>
        <w:t>interval load data</w:t>
      </w:r>
      <w:r w:rsidRPr="00CB6333">
        <w:rPr>
          <w:szCs w:val="32"/>
        </w:rPr>
        <w:t xml:space="preserve"> (</w:t>
      </w:r>
      <w:r w:rsidRPr="00CB6333">
        <w:rPr>
          <w:i/>
          <w:szCs w:val="32"/>
        </w:rPr>
        <w:t>i.e.</w:t>
      </w:r>
      <w:r w:rsidRPr="00CB6333">
        <w:rPr>
          <w:szCs w:val="32"/>
        </w:rPr>
        <w:t xml:space="preserve">, hourly loads for each TOU and </w:t>
      </w:r>
      <w:r w:rsidR="005E5D58">
        <w:rPr>
          <w:szCs w:val="32"/>
        </w:rPr>
        <w:t>CPP</w:t>
      </w:r>
      <w:r w:rsidRPr="00CB6333">
        <w:rPr>
          <w:szCs w:val="32"/>
        </w:rPr>
        <w:t xml:space="preserve"> enrollee, and potential control group customers)</w:t>
      </w:r>
      <w:r w:rsidR="003C4D36">
        <w:rPr>
          <w:szCs w:val="32"/>
        </w:rPr>
        <w:t>,</w:t>
      </w:r>
      <w:r w:rsidR="007C31F5">
        <w:rPr>
          <w:szCs w:val="32"/>
        </w:rPr>
        <w:t xml:space="preserve"> for November 201</w:t>
      </w:r>
      <w:r w:rsidR="007673F9">
        <w:rPr>
          <w:szCs w:val="32"/>
        </w:rPr>
        <w:t>5</w:t>
      </w:r>
      <w:r w:rsidR="007C31F5">
        <w:rPr>
          <w:szCs w:val="32"/>
        </w:rPr>
        <w:t xml:space="preserve"> through September 201</w:t>
      </w:r>
      <w:r w:rsidR="007673F9">
        <w:rPr>
          <w:szCs w:val="32"/>
        </w:rPr>
        <w:t>7</w:t>
      </w:r>
      <w:r w:rsidRPr="00CB6333">
        <w:rPr>
          <w:szCs w:val="32"/>
        </w:rPr>
        <w:t>;</w:t>
      </w:r>
    </w:p>
    <w:p w14:paraId="013F7E7D" w14:textId="77777777" w:rsidR="008C3673" w:rsidRPr="00CB6333" w:rsidRDefault="008C3673" w:rsidP="00095AB1">
      <w:pPr>
        <w:numPr>
          <w:ilvl w:val="0"/>
          <w:numId w:val="35"/>
        </w:numPr>
        <w:spacing w:after="120"/>
        <w:rPr>
          <w:szCs w:val="32"/>
        </w:rPr>
      </w:pPr>
      <w:r w:rsidRPr="00CB6333">
        <w:rPr>
          <w:i/>
          <w:szCs w:val="32"/>
        </w:rPr>
        <w:t>Weather</w:t>
      </w:r>
      <w:r w:rsidRPr="00CB6333">
        <w:rPr>
          <w:szCs w:val="32"/>
        </w:rPr>
        <w:t xml:space="preserve"> </w:t>
      </w:r>
      <w:r w:rsidRPr="00CB6333">
        <w:rPr>
          <w:i/>
          <w:szCs w:val="32"/>
        </w:rPr>
        <w:t>data</w:t>
      </w:r>
      <w:r w:rsidRPr="00CB6333">
        <w:rPr>
          <w:szCs w:val="32"/>
        </w:rPr>
        <w:t xml:space="preserve"> (</w:t>
      </w:r>
      <w:r w:rsidRPr="00CB6333">
        <w:rPr>
          <w:i/>
          <w:szCs w:val="32"/>
        </w:rPr>
        <w:t>i.e.</w:t>
      </w:r>
      <w:r w:rsidRPr="00CB6333">
        <w:rPr>
          <w:szCs w:val="32"/>
        </w:rPr>
        <w:t>, hourly temperatures and other variables for the relevant time period</w:t>
      </w:r>
      <w:r>
        <w:rPr>
          <w:szCs w:val="32"/>
        </w:rPr>
        <w:t xml:space="preserve">, </w:t>
      </w:r>
      <w:r w:rsidRPr="00CB6333">
        <w:rPr>
          <w:szCs w:val="32"/>
        </w:rPr>
        <w:t>for both climate zones—coastal and inland);</w:t>
      </w:r>
    </w:p>
    <w:p w14:paraId="7BE42513" w14:textId="77777777" w:rsidR="008C3673" w:rsidRPr="00CB6333" w:rsidRDefault="008C3673" w:rsidP="00095AB1">
      <w:pPr>
        <w:numPr>
          <w:ilvl w:val="0"/>
          <w:numId w:val="35"/>
        </w:numPr>
        <w:spacing w:after="120"/>
        <w:rPr>
          <w:szCs w:val="32"/>
        </w:rPr>
      </w:pPr>
      <w:r w:rsidRPr="00CB6333">
        <w:rPr>
          <w:i/>
          <w:szCs w:val="32"/>
        </w:rPr>
        <w:t>Program event data</w:t>
      </w:r>
      <w:r w:rsidRPr="00CB6333">
        <w:rPr>
          <w:szCs w:val="32"/>
        </w:rPr>
        <w:t xml:space="preserve"> (</w:t>
      </w:r>
      <w:r w:rsidRPr="00CB6333">
        <w:rPr>
          <w:i/>
          <w:szCs w:val="32"/>
        </w:rPr>
        <w:t>i.e.</w:t>
      </w:r>
      <w:r w:rsidRPr="00CB6333">
        <w:rPr>
          <w:szCs w:val="32"/>
        </w:rPr>
        <w:t>, dates and hours of CPP events, and event triggers).</w:t>
      </w:r>
      <w:r w:rsidRPr="00CB6333">
        <w:rPr>
          <w:i/>
          <w:szCs w:val="32"/>
        </w:rPr>
        <w:t xml:space="preserve"> </w:t>
      </w:r>
    </w:p>
    <w:p w14:paraId="7A6F356C" w14:textId="0B8375A5" w:rsidR="008C3673" w:rsidRPr="006A1B70" w:rsidRDefault="008C3673" w:rsidP="00095AB1">
      <w:pPr>
        <w:pStyle w:val="Heading2"/>
        <w:spacing w:after="120"/>
      </w:pPr>
      <w:bookmarkStart w:id="52" w:name="_Toc326148610"/>
      <w:bookmarkStart w:id="53" w:name="_Toc343076493"/>
      <w:bookmarkStart w:id="54" w:name="_Toc509576748"/>
      <w:r>
        <w:t xml:space="preserve">3.2 </w:t>
      </w:r>
      <w:r w:rsidRPr="006A1B70">
        <w:t>Analysis Methods</w:t>
      </w:r>
      <w:bookmarkEnd w:id="52"/>
      <w:bookmarkEnd w:id="53"/>
      <w:bookmarkEnd w:id="54"/>
      <w:r w:rsidRPr="006A1B70">
        <w:t xml:space="preserve"> </w:t>
      </w:r>
    </w:p>
    <w:p w14:paraId="17616ECB" w14:textId="7DEA348C" w:rsidR="008C3673" w:rsidRDefault="00445982" w:rsidP="00095AB1">
      <w:pPr>
        <w:spacing w:after="120"/>
        <w:rPr>
          <w:szCs w:val="32"/>
        </w:rPr>
      </w:pPr>
      <w:r>
        <w:rPr>
          <w:szCs w:val="32"/>
        </w:rPr>
        <w:t xml:space="preserve">The evaluation approach </w:t>
      </w:r>
      <w:r w:rsidR="00637442">
        <w:rPr>
          <w:szCs w:val="32"/>
        </w:rPr>
        <w:t xml:space="preserve">used in this study, as in the previous (2016) evaluation, </w:t>
      </w:r>
      <w:r w:rsidR="00AD7A54">
        <w:rPr>
          <w:szCs w:val="32"/>
        </w:rPr>
        <w:t xml:space="preserve">includes implementing </w:t>
      </w:r>
      <w:r w:rsidR="00637442">
        <w:rPr>
          <w:szCs w:val="32"/>
        </w:rPr>
        <w:t xml:space="preserve">a difference-in-differences regression analysis using data for TOU and CPP participants and matched control group customers. The analysis </w:t>
      </w:r>
      <w:r w:rsidR="008C3673" w:rsidRPr="00CB6333">
        <w:rPr>
          <w:szCs w:val="32"/>
        </w:rPr>
        <w:t xml:space="preserve">involves three steps. First, we request hourly load data for the TOU and CPP enrollees, and potential control group customers, for the current year and </w:t>
      </w:r>
      <w:r w:rsidR="00637442">
        <w:rPr>
          <w:szCs w:val="32"/>
        </w:rPr>
        <w:t xml:space="preserve">the previous </w:t>
      </w:r>
      <w:r w:rsidR="008C3673" w:rsidRPr="00CB6333">
        <w:rPr>
          <w:szCs w:val="32"/>
        </w:rPr>
        <w:t>year</w:t>
      </w:r>
      <w:r w:rsidR="00AD7A54">
        <w:rPr>
          <w:szCs w:val="32"/>
        </w:rPr>
        <w:t xml:space="preserve"> (</w:t>
      </w:r>
      <w:r w:rsidR="00AD7A54" w:rsidRPr="00CB6333">
        <w:rPr>
          <w:szCs w:val="32"/>
        </w:rPr>
        <w:t>pre-enrollment</w:t>
      </w:r>
      <w:r w:rsidR="00AD7A54">
        <w:rPr>
          <w:szCs w:val="32"/>
        </w:rPr>
        <w:t xml:space="preserve"> year for new enrollees)</w:t>
      </w:r>
      <w:r w:rsidR="008C3673" w:rsidRPr="00CB6333">
        <w:rPr>
          <w:szCs w:val="32"/>
        </w:rPr>
        <w:t xml:space="preserve">. Second, we select matched control group customers for the TOU and CPP enrollees, as described </w:t>
      </w:r>
      <w:r w:rsidR="009061DE">
        <w:rPr>
          <w:szCs w:val="32"/>
        </w:rPr>
        <w:t>below</w:t>
      </w:r>
      <w:r w:rsidR="008C3673" w:rsidRPr="00CB6333">
        <w:rPr>
          <w:szCs w:val="32"/>
        </w:rPr>
        <w:t xml:space="preserve">. Third, we estimate fixed-effects panel regression models, </w:t>
      </w:r>
      <w:r w:rsidR="00F430DB">
        <w:rPr>
          <w:szCs w:val="32"/>
        </w:rPr>
        <w:t xml:space="preserve">which produce </w:t>
      </w:r>
      <w:r w:rsidR="008C3673" w:rsidRPr="00CB6333">
        <w:rPr>
          <w:szCs w:val="32"/>
        </w:rPr>
        <w:t>difference-in-differences estimates of event-day load impacts (for CPP), and average TOU period load impacts (for both TOU and for CPP non-event days).</w:t>
      </w:r>
    </w:p>
    <w:p w14:paraId="4B58C82A" w14:textId="6C58F3D5" w:rsidR="009061DE" w:rsidRDefault="00DF1FE1" w:rsidP="00095AB1">
      <w:pPr>
        <w:pStyle w:val="Heading3"/>
        <w:spacing w:after="120"/>
      </w:pPr>
      <w:bookmarkStart w:id="55" w:name="_Toc509576749"/>
      <w:r>
        <w:t xml:space="preserve">3.2.1 </w:t>
      </w:r>
      <w:r w:rsidR="009061DE">
        <w:t>Evaluation design</w:t>
      </w:r>
      <w:r w:rsidR="0081595D">
        <w:t xml:space="preserve"> and control group matching</w:t>
      </w:r>
      <w:bookmarkEnd w:id="55"/>
    </w:p>
    <w:p w14:paraId="6FD07BAF" w14:textId="1B86074A" w:rsidR="009061DE" w:rsidRDefault="00637442" w:rsidP="00095AB1">
      <w:pPr>
        <w:spacing w:after="120"/>
      </w:pPr>
      <w:r>
        <w:t xml:space="preserve">The </w:t>
      </w:r>
      <w:r w:rsidR="009061DE">
        <w:t>difference-in-d</w:t>
      </w:r>
      <w:r>
        <w:t xml:space="preserve">ifferences evaluation </w:t>
      </w:r>
      <w:r w:rsidR="00690C36">
        <w:t xml:space="preserve">is a quasi-experimental </w:t>
      </w:r>
      <w:r>
        <w:t>approach</w:t>
      </w:r>
      <w:r w:rsidR="009061DE">
        <w:t xml:space="preserve"> </w:t>
      </w:r>
      <w:r w:rsidR="00690C36">
        <w:t xml:space="preserve">that </w:t>
      </w:r>
      <w:r w:rsidR="009061DE">
        <w:t>compare</w:t>
      </w:r>
      <w:r>
        <w:t>s</w:t>
      </w:r>
      <w:r w:rsidR="009061DE">
        <w:t xml:space="preserve"> </w:t>
      </w:r>
      <w:r w:rsidR="00DF1FE1">
        <w:t xml:space="preserve">the usage of </w:t>
      </w:r>
      <w:r w:rsidR="009061DE">
        <w:t xml:space="preserve">treatment and </w:t>
      </w:r>
      <w:r w:rsidR="009061DE" w:rsidRPr="007371B7">
        <w:rPr>
          <w:szCs w:val="32"/>
        </w:rPr>
        <w:t xml:space="preserve">matched </w:t>
      </w:r>
      <w:r w:rsidR="009061DE">
        <w:t>control group</w:t>
      </w:r>
      <w:r w:rsidR="00DF1FE1">
        <w:t xml:space="preserve"> customers</w:t>
      </w:r>
      <w:r w:rsidR="009061DE">
        <w:t xml:space="preserve"> on relevant days or time periods, adjusted by their usage differences on pre-treatment or non-event days. The control groups were selected by matching each treatment customer to one of a sample of eligible non-treatment customers in relevant population segments (</w:t>
      </w:r>
      <w:r w:rsidR="009061DE">
        <w:rPr>
          <w:i/>
        </w:rPr>
        <w:t>e.g.</w:t>
      </w:r>
      <w:r w:rsidR="009061DE">
        <w:t xml:space="preserve">, climate zone, CARE status, and enrollment in RYU), based on the closest match of load profiles. The </w:t>
      </w:r>
      <w:r w:rsidR="00EB0E58">
        <w:t xml:space="preserve">initial </w:t>
      </w:r>
      <w:r w:rsidR="009061DE">
        <w:t xml:space="preserve">samples of eligible control group customers were developed as </w:t>
      </w:r>
      <w:r>
        <w:lastRenderedPageBreak/>
        <w:t>seven</w:t>
      </w:r>
      <w:r w:rsidR="009061DE">
        <w:t xml:space="preserve">-to-one samples by segment from the eligible population of SDG&amp;E residential customers. </w:t>
      </w:r>
    </w:p>
    <w:p w14:paraId="3D03FF13" w14:textId="77777777" w:rsidR="006507E4" w:rsidRDefault="009061DE" w:rsidP="00095AB1">
      <w:pPr>
        <w:spacing w:after="120"/>
      </w:pPr>
      <w:r>
        <w:t>The matching process differ</w:t>
      </w:r>
      <w:r w:rsidR="00EB0E58">
        <w:t>ed</w:t>
      </w:r>
      <w:r>
        <w:t xml:space="preserve"> for</w:t>
      </w:r>
      <w:r w:rsidR="002B5065">
        <w:t xml:space="preserve"> customers on the </w:t>
      </w:r>
      <w:r>
        <w:t xml:space="preserve">two rates. </w:t>
      </w:r>
      <w:r w:rsidR="007C31F5">
        <w:t xml:space="preserve">Since the </w:t>
      </w:r>
      <w:r w:rsidR="005E5D58">
        <w:t>CPP</w:t>
      </w:r>
      <w:r w:rsidR="007C31F5">
        <w:t xml:space="preserve"> (TOU-DR-P) customers experienced TOU rates on all non-event days, and the CPP rate on event days, </w:t>
      </w:r>
      <w:r w:rsidR="002B5065">
        <w:t xml:space="preserve">we treat those customers as CPP customers when evaluating CPP load impacts, and as TOU customers when evaluating TOU impacts. </w:t>
      </w:r>
    </w:p>
    <w:p w14:paraId="5D12F8B3" w14:textId="0944B243" w:rsidR="00BD6A61" w:rsidRDefault="002B5065" w:rsidP="00AD46D4">
      <w:pPr>
        <w:spacing w:after="120"/>
      </w:pPr>
      <w:r>
        <w:t>For analyzing CPP impacts, t</w:t>
      </w:r>
      <w:r w:rsidR="009061DE">
        <w:t xml:space="preserve">he </w:t>
      </w:r>
      <w:r w:rsidR="005E5D58">
        <w:t>CPP</w:t>
      </w:r>
      <w:r w:rsidR="009061DE">
        <w:t xml:space="preserve"> customers were matched </w:t>
      </w:r>
      <w:r>
        <w:t xml:space="preserve">to potential control group customers </w:t>
      </w:r>
      <w:r w:rsidR="009061DE">
        <w:t xml:space="preserve">using </w:t>
      </w:r>
      <w:r>
        <w:t xml:space="preserve">loads on </w:t>
      </w:r>
      <w:r w:rsidR="009061DE">
        <w:t xml:space="preserve">selected event-like </w:t>
      </w:r>
      <w:r w:rsidR="008C7C70">
        <w:t xml:space="preserve">non-event </w:t>
      </w:r>
      <w:r w:rsidR="009061DE">
        <w:t>days (</w:t>
      </w:r>
      <w:r w:rsidR="009061DE">
        <w:rPr>
          <w:i/>
        </w:rPr>
        <w:t>e.g.</w:t>
      </w:r>
      <w:r w:rsidR="009061DE">
        <w:t>, days with temperatures most like those on the event day</w:t>
      </w:r>
      <w:r w:rsidR="00FE6171">
        <w:t>s</w:t>
      </w:r>
      <w:r>
        <w:t>)</w:t>
      </w:r>
      <w:r w:rsidR="00F238FD">
        <w:t>. Figure 3.1 displays the average event-hour temperature for all weekday and weekends between October 2015 and November 2017. Red diamond markers indicate weekend non-event days while blue circles indicate weekday non-event days. The red and blue X represent weekend and weekday event days, respectively.</w:t>
      </w:r>
    </w:p>
    <w:p w14:paraId="5ADA324B" w14:textId="79619E42" w:rsidR="00F238FD" w:rsidRDefault="00F238FD" w:rsidP="00237521">
      <w:pPr>
        <w:pStyle w:val="FigureCaption"/>
        <w:keepNext/>
      </w:pPr>
      <w:bookmarkStart w:id="56" w:name="_Toc509576813"/>
      <w:r>
        <w:t>Figure 3.1: Average Event-Hour Temperatures</w:t>
      </w:r>
      <w:bookmarkEnd w:id="56"/>
    </w:p>
    <w:p w14:paraId="6CD7E2A7" w14:textId="3F79D191" w:rsidR="00F238FD" w:rsidRDefault="00F238FD" w:rsidP="00237521">
      <w:pPr>
        <w:spacing w:after="120"/>
        <w:jc w:val="center"/>
      </w:pPr>
      <w:r>
        <w:rPr>
          <w:noProof/>
        </w:rPr>
        <w:drawing>
          <wp:inline distT="0" distB="0" distL="0" distR="0" wp14:anchorId="26B5E2DB" wp14:editId="5755F516">
            <wp:extent cx="5021986" cy="3152775"/>
            <wp:effectExtent l="0" t="0" r="7620" b="0"/>
            <wp:docPr id="3" name="Picture 3" descr="C:\Users\mtclark\AppData\Local\Microsoft\Windows\INetCache\Content.Word\weath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tclark\AppData\Local\Microsoft\Windows\INetCache\Content.Word\weather.png"/>
                    <pic:cNvPicPr>
                      <a:picLocks noChangeAspect="1" noChangeArrowheads="1"/>
                    </pic:cNvPicPr>
                  </pic:nvPicPr>
                  <pic:blipFill rotWithShape="1">
                    <a:blip r:embed="rId17">
                      <a:extLst>
                        <a:ext uri="{28A0092B-C50C-407E-A947-70E740481C1C}">
                          <a14:useLocalDpi xmlns:a14="http://schemas.microsoft.com/office/drawing/2010/main" val="0"/>
                        </a:ext>
                      </a:extLst>
                    </a:blip>
                    <a:srcRect t="6250" b="7536"/>
                    <a:stretch/>
                  </pic:blipFill>
                  <pic:spPr bwMode="auto">
                    <a:xfrm>
                      <a:off x="0" y="0"/>
                      <a:ext cx="5022912" cy="3153356"/>
                    </a:xfrm>
                    <a:prstGeom prst="rect">
                      <a:avLst/>
                    </a:prstGeom>
                    <a:noFill/>
                    <a:ln>
                      <a:noFill/>
                    </a:ln>
                    <a:extLst>
                      <a:ext uri="{53640926-AAD7-44D8-BBD7-CCE9431645EC}">
                        <a14:shadowObscured xmlns:a14="http://schemas.microsoft.com/office/drawing/2010/main"/>
                      </a:ext>
                    </a:extLst>
                  </pic:spPr>
                </pic:pic>
              </a:graphicData>
            </a:graphic>
          </wp:inline>
        </w:drawing>
      </w:r>
    </w:p>
    <w:p w14:paraId="126F894C" w14:textId="5F7792A5" w:rsidR="00A726DB" w:rsidRDefault="00A726DB" w:rsidP="00A726DB">
      <w:pPr>
        <w:spacing w:after="120"/>
      </w:pPr>
      <w:r>
        <w:t>Figure 3.1 demonstrates that the event days in 2017 were among the hottest days during 2017. As there were more hot days during 2016, we choose event-like non-event days during the summers of 2016 and 2017, including weekends because September 2</w:t>
      </w:r>
      <w:r w:rsidR="00AD46D4" w:rsidRPr="00237521">
        <w:rPr>
          <w:vertAlign w:val="superscript"/>
        </w:rPr>
        <w:t>nd</w:t>
      </w:r>
      <w:r>
        <w:t>, 2017 was a weekend event.</w:t>
      </w:r>
      <w:r w:rsidR="00AD46D4">
        <w:t xml:space="preserve"> The list of chosen event-like non-event days is provided in Table 3.1. </w:t>
      </w:r>
      <w:r w:rsidR="00AD46D4" w:rsidRPr="00AD46D4">
        <w:rPr>
          <w:rFonts w:asciiTheme="minorHAnsi" w:hAnsiTheme="minorHAnsi" w:cstheme="minorHAnsi"/>
        </w:rPr>
        <w:t xml:space="preserve"> </w:t>
      </w:r>
      <w:r w:rsidR="00AD46D4">
        <w:rPr>
          <w:rFonts w:asciiTheme="minorHAnsi" w:hAnsiTheme="minorHAnsi" w:cstheme="minorHAnsi"/>
        </w:rPr>
        <w:t>Separate event-like days were chosen for CPP customers that were dually enrolled in Summer Saver (81 customers) because many of the hottest dates chosen were also Summer Saver event days.</w:t>
      </w:r>
    </w:p>
    <w:p w14:paraId="5BF2E2D4" w14:textId="20238DC1" w:rsidR="00A726DB" w:rsidRDefault="00A726DB" w:rsidP="00237521">
      <w:pPr>
        <w:pStyle w:val="TableCaption"/>
        <w:keepNext/>
      </w:pPr>
      <w:bookmarkStart w:id="57" w:name="_Toc509576789"/>
      <w:r>
        <w:lastRenderedPageBreak/>
        <w:t>Table 3.1: List of Selected Event-Like Days</w:t>
      </w:r>
      <w:bookmarkEnd w:id="57"/>
    </w:p>
    <w:tbl>
      <w:tblPr>
        <w:tblW w:w="6160" w:type="dxa"/>
        <w:jc w:val="center"/>
        <w:tblLook w:val="04A0" w:firstRow="1" w:lastRow="0" w:firstColumn="1" w:lastColumn="0" w:noHBand="0" w:noVBand="1"/>
      </w:tblPr>
      <w:tblGrid>
        <w:gridCol w:w="1628"/>
        <w:gridCol w:w="1452"/>
        <w:gridCol w:w="1628"/>
        <w:gridCol w:w="1452"/>
      </w:tblGrid>
      <w:tr w:rsidR="00A726DB" w:rsidRPr="00A726DB" w14:paraId="74D2EA47" w14:textId="77777777" w:rsidTr="0010027E">
        <w:trPr>
          <w:trHeight w:val="255"/>
          <w:jc w:val="center"/>
        </w:trPr>
        <w:tc>
          <w:tcPr>
            <w:tcW w:w="3080" w:type="dxa"/>
            <w:gridSpan w:val="2"/>
            <w:vMerge w:val="restart"/>
            <w:tcBorders>
              <w:top w:val="single" w:sz="4" w:space="0" w:color="000000"/>
              <w:left w:val="single" w:sz="4" w:space="0" w:color="000000"/>
              <w:bottom w:val="single" w:sz="4" w:space="0" w:color="FFFFFF"/>
              <w:right w:val="single" w:sz="4" w:space="0" w:color="FFFFFF"/>
            </w:tcBorders>
            <w:shd w:val="clear" w:color="auto" w:fill="0C2577"/>
            <w:noWrap/>
            <w:vAlign w:val="center"/>
            <w:hideMark/>
          </w:tcPr>
          <w:p w14:paraId="0FF4BE07" w14:textId="77777777" w:rsidR="00A726DB" w:rsidRPr="00A726DB" w:rsidRDefault="00A726DB" w:rsidP="00237521">
            <w:pPr>
              <w:keepNext/>
              <w:jc w:val="center"/>
              <w:rPr>
                <w:rFonts w:ascii="Arial" w:hAnsi="Arial" w:cs="Arial"/>
                <w:b/>
                <w:bCs/>
                <w:color w:val="FFFFFF"/>
                <w:sz w:val="20"/>
                <w:szCs w:val="20"/>
              </w:rPr>
            </w:pPr>
            <w:r w:rsidRPr="00A726DB">
              <w:rPr>
                <w:rFonts w:ascii="Arial" w:hAnsi="Arial" w:cs="Arial"/>
                <w:b/>
                <w:bCs/>
                <w:color w:val="FFFFFF"/>
                <w:sz w:val="20"/>
                <w:szCs w:val="20"/>
              </w:rPr>
              <w:t>Non-SS Customers</w:t>
            </w:r>
          </w:p>
        </w:tc>
        <w:tc>
          <w:tcPr>
            <w:tcW w:w="3080" w:type="dxa"/>
            <w:gridSpan w:val="2"/>
            <w:vMerge w:val="restart"/>
            <w:tcBorders>
              <w:top w:val="single" w:sz="4" w:space="0" w:color="000000"/>
              <w:left w:val="single" w:sz="4" w:space="0" w:color="FFFFFF"/>
              <w:bottom w:val="single" w:sz="4" w:space="0" w:color="FFFFFF"/>
              <w:right w:val="single" w:sz="4" w:space="0" w:color="000000"/>
            </w:tcBorders>
            <w:shd w:val="clear" w:color="auto" w:fill="0C2577"/>
            <w:noWrap/>
            <w:vAlign w:val="center"/>
            <w:hideMark/>
          </w:tcPr>
          <w:p w14:paraId="3B2AD24F" w14:textId="77777777" w:rsidR="00A726DB" w:rsidRPr="00A726DB" w:rsidRDefault="00A726DB" w:rsidP="00237521">
            <w:pPr>
              <w:keepNext/>
              <w:jc w:val="center"/>
              <w:rPr>
                <w:rFonts w:ascii="Arial" w:hAnsi="Arial" w:cs="Arial"/>
                <w:b/>
                <w:bCs/>
                <w:color w:val="FFFFFF"/>
                <w:sz w:val="20"/>
                <w:szCs w:val="20"/>
              </w:rPr>
            </w:pPr>
            <w:r w:rsidRPr="00A726DB">
              <w:rPr>
                <w:rFonts w:ascii="Arial" w:hAnsi="Arial" w:cs="Arial"/>
                <w:b/>
                <w:bCs/>
                <w:color w:val="FFFFFF"/>
                <w:sz w:val="20"/>
                <w:szCs w:val="20"/>
              </w:rPr>
              <w:t>Dually Enrolled SS Customers</w:t>
            </w:r>
          </w:p>
        </w:tc>
      </w:tr>
      <w:tr w:rsidR="00A726DB" w:rsidRPr="00A726DB" w14:paraId="1E18D42B" w14:textId="77777777" w:rsidTr="0010027E">
        <w:trPr>
          <w:trHeight w:val="293"/>
          <w:jc w:val="center"/>
        </w:trPr>
        <w:tc>
          <w:tcPr>
            <w:tcW w:w="3080" w:type="dxa"/>
            <w:gridSpan w:val="2"/>
            <w:vMerge/>
            <w:tcBorders>
              <w:top w:val="single" w:sz="4" w:space="0" w:color="000000"/>
              <w:left w:val="single" w:sz="4" w:space="0" w:color="000000"/>
              <w:bottom w:val="single" w:sz="4" w:space="0" w:color="FFFFFF"/>
              <w:right w:val="single" w:sz="4" w:space="0" w:color="FFFFFF"/>
            </w:tcBorders>
            <w:shd w:val="clear" w:color="auto" w:fill="0C2577"/>
            <w:vAlign w:val="center"/>
            <w:hideMark/>
          </w:tcPr>
          <w:p w14:paraId="5A728DDE" w14:textId="77777777" w:rsidR="00A726DB" w:rsidRPr="00A726DB" w:rsidRDefault="00A726DB" w:rsidP="00237521">
            <w:pPr>
              <w:keepNext/>
              <w:rPr>
                <w:rFonts w:ascii="Arial" w:hAnsi="Arial" w:cs="Arial"/>
                <w:b/>
                <w:bCs/>
                <w:color w:val="FFFFFF"/>
                <w:sz w:val="20"/>
                <w:szCs w:val="20"/>
              </w:rPr>
            </w:pPr>
          </w:p>
        </w:tc>
        <w:tc>
          <w:tcPr>
            <w:tcW w:w="3080" w:type="dxa"/>
            <w:gridSpan w:val="2"/>
            <w:vMerge/>
            <w:tcBorders>
              <w:top w:val="single" w:sz="4" w:space="0" w:color="000000"/>
              <w:left w:val="single" w:sz="4" w:space="0" w:color="FFFFFF"/>
              <w:bottom w:val="single" w:sz="4" w:space="0" w:color="FFFFFF"/>
              <w:right w:val="single" w:sz="4" w:space="0" w:color="000000"/>
            </w:tcBorders>
            <w:shd w:val="clear" w:color="auto" w:fill="0C2577"/>
            <w:vAlign w:val="center"/>
            <w:hideMark/>
          </w:tcPr>
          <w:p w14:paraId="77B96306" w14:textId="77777777" w:rsidR="00A726DB" w:rsidRPr="00A726DB" w:rsidRDefault="00A726DB" w:rsidP="00237521">
            <w:pPr>
              <w:keepNext/>
              <w:rPr>
                <w:rFonts w:ascii="Arial" w:hAnsi="Arial" w:cs="Arial"/>
                <w:b/>
                <w:bCs/>
                <w:color w:val="FFFFFF"/>
                <w:sz w:val="20"/>
                <w:szCs w:val="20"/>
              </w:rPr>
            </w:pPr>
          </w:p>
        </w:tc>
      </w:tr>
      <w:tr w:rsidR="00A726DB" w:rsidRPr="00A726DB" w14:paraId="0E719B1D" w14:textId="77777777" w:rsidTr="0010027E">
        <w:trPr>
          <w:trHeight w:val="255"/>
          <w:jc w:val="center"/>
        </w:trPr>
        <w:tc>
          <w:tcPr>
            <w:tcW w:w="1628" w:type="dxa"/>
            <w:tcBorders>
              <w:top w:val="nil"/>
              <w:left w:val="single" w:sz="4" w:space="0" w:color="000000"/>
              <w:bottom w:val="nil"/>
              <w:right w:val="single" w:sz="4" w:space="0" w:color="FFFFFF"/>
            </w:tcBorders>
            <w:shd w:val="clear" w:color="auto" w:fill="0C2577"/>
            <w:noWrap/>
            <w:vAlign w:val="center"/>
            <w:hideMark/>
          </w:tcPr>
          <w:p w14:paraId="39903A2E" w14:textId="77777777" w:rsidR="00A726DB" w:rsidRPr="00A726DB" w:rsidRDefault="00A726DB" w:rsidP="00237521">
            <w:pPr>
              <w:keepNext/>
              <w:jc w:val="center"/>
              <w:rPr>
                <w:rFonts w:ascii="Arial" w:hAnsi="Arial" w:cs="Arial"/>
                <w:b/>
                <w:bCs/>
                <w:color w:val="FFFFFF"/>
                <w:sz w:val="20"/>
                <w:szCs w:val="20"/>
              </w:rPr>
            </w:pPr>
            <w:r w:rsidRPr="00A726DB">
              <w:rPr>
                <w:rFonts w:ascii="Arial" w:hAnsi="Arial" w:cs="Arial"/>
                <w:b/>
                <w:bCs/>
                <w:color w:val="FFFFFF"/>
                <w:sz w:val="20"/>
                <w:szCs w:val="20"/>
              </w:rPr>
              <w:t>Weekday</w:t>
            </w:r>
          </w:p>
        </w:tc>
        <w:tc>
          <w:tcPr>
            <w:tcW w:w="1452" w:type="dxa"/>
            <w:tcBorders>
              <w:top w:val="nil"/>
              <w:left w:val="nil"/>
              <w:bottom w:val="nil"/>
              <w:right w:val="single" w:sz="4" w:space="0" w:color="FFFFFF"/>
            </w:tcBorders>
            <w:shd w:val="clear" w:color="auto" w:fill="0C2577"/>
            <w:noWrap/>
            <w:vAlign w:val="center"/>
            <w:hideMark/>
          </w:tcPr>
          <w:p w14:paraId="6D14D844" w14:textId="77777777" w:rsidR="00A726DB" w:rsidRPr="00A726DB" w:rsidRDefault="00A726DB" w:rsidP="00237521">
            <w:pPr>
              <w:keepNext/>
              <w:jc w:val="center"/>
              <w:rPr>
                <w:rFonts w:ascii="Arial" w:hAnsi="Arial" w:cs="Arial"/>
                <w:b/>
                <w:bCs/>
                <w:color w:val="FFFFFF"/>
                <w:sz w:val="20"/>
                <w:szCs w:val="20"/>
              </w:rPr>
            </w:pPr>
            <w:r w:rsidRPr="00A726DB">
              <w:rPr>
                <w:rFonts w:ascii="Arial" w:hAnsi="Arial" w:cs="Arial"/>
                <w:b/>
                <w:bCs/>
                <w:color w:val="FFFFFF"/>
                <w:sz w:val="20"/>
                <w:szCs w:val="20"/>
              </w:rPr>
              <w:t>Weekend</w:t>
            </w:r>
          </w:p>
        </w:tc>
        <w:tc>
          <w:tcPr>
            <w:tcW w:w="1628" w:type="dxa"/>
            <w:tcBorders>
              <w:top w:val="nil"/>
              <w:left w:val="nil"/>
              <w:bottom w:val="nil"/>
              <w:right w:val="single" w:sz="4" w:space="0" w:color="FFFFFF"/>
            </w:tcBorders>
            <w:shd w:val="clear" w:color="auto" w:fill="0C2577"/>
            <w:noWrap/>
            <w:vAlign w:val="center"/>
            <w:hideMark/>
          </w:tcPr>
          <w:p w14:paraId="53B99593" w14:textId="77777777" w:rsidR="00A726DB" w:rsidRPr="00A726DB" w:rsidRDefault="00A726DB" w:rsidP="00237521">
            <w:pPr>
              <w:keepNext/>
              <w:jc w:val="center"/>
              <w:rPr>
                <w:rFonts w:ascii="Arial" w:hAnsi="Arial" w:cs="Arial"/>
                <w:b/>
                <w:bCs/>
                <w:color w:val="FFFFFF"/>
                <w:sz w:val="20"/>
                <w:szCs w:val="20"/>
              </w:rPr>
            </w:pPr>
            <w:r w:rsidRPr="00A726DB">
              <w:rPr>
                <w:rFonts w:ascii="Arial" w:hAnsi="Arial" w:cs="Arial"/>
                <w:b/>
                <w:bCs/>
                <w:color w:val="FFFFFF"/>
                <w:sz w:val="20"/>
                <w:szCs w:val="20"/>
              </w:rPr>
              <w:t>Weekday</w:t>
            </w:r>
          </w:p>
        </w:tc>
        <w:tc>
          <w:tcPr>
            <w:tcW w:w="1452" w:type="dxa"/>
            <w:tcBorders>
              <w:top w:val="nil"/>
              <w:left w:val="nil"/>
              <w:bottom w:val="nil"/>
              <w:right w:val="single" w:sz="4" w:space="0" w:color="000000"/>
            </w:tcBorders>
            <w:shd w:val="clear" w:color="auto" w:fill="0C2577"/>
            <w:noWrap/>
            <w:vAlign w:val="center"/>
            <w:hideMark/>
          </w:tcPr>
          <w:p w14:paraId="11ABFF66" w14:textId="77777777" w:rsidR="00A726DB" w:rsidRPr="00A726DB" w:rsidRDefault="00A726DB" w:rsidP="00237521">
            <w:pPr>
              <w:keepNext/>
              <w:jc w:val="center"/>
              <w:rPr>
                <w:rFonts w:ascii="Arial" w:hAnsi="Arial" w:cs="Arial"/>
                <w:b/>
                <w:bCs/>
                <w:color w:val="FFFFFF"/>
                <w:sz w:val="20"/>
                <w:szCs w:val="20"/>
              </w:rPr>
            </w:pPr>
            <w:r w:rsidRPr="00A726DB">
              <w:rPr>
                <w:rFonts w:ascii="Arial" w:hAnsi="Arial" w:cs="Arial"/>
                <w:b/>
                <w:bCs/>
                <w:color w:val="FFFFFF"/>
                <w:sz w:val="20"/>
                <w:szCs w:val="20"/>
              </w:rPr>
              <w:t>Weekend</w:t>
            </w:r>
          </w:p>
        </w:tc>
      </w:tr>
      <w:tr w:rsidR="00A726DB" w:rsidRPr="00A726DB" w14:paraId="74931A6E" w14:textId="77777777" w:rsidTr="001B70FE">
        <w:trPr>
          <w:trHeight w:val="255"/>
          <w:jc w:val="center"/>
        </w:trPr>
        <w:tc>
          <w:tcPr>
            <w:tcW w:w="1628" w:type="dxa"/>
            <w:tcBorders>
              <w:top w:val="single" w:sz="4" w:space="0" w:color="000000"/>
              <w:left w:val="single" w:sz="4" w:space="0" w:color="000000"/>
              <w:bottom w:val="nil"/>
              <w:right w:val="single" w:sz="4" w:space="0" w:color="000000"/>
            </w:tcBorders>
            <w:shd w:val="clear" w:color="auto" w:fill="auto"/>
            <w:noWrap/>
            <w:vAlign w:val="center"/>
            <w:hideMark/>
          </w:tcPr>
          <w:p w14:paraId="37585DB6"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9/28/2016</w:t>
            </w:r>
          </w:p>
        </w:tc>
        <w:tc>
          <w:tcPr>
            <w:tcW w:w="1452" w:type="dxa"/>
            <w:tcBorders>
              <w:top w:val="single" w:sz="4" w:space="0" w:color="000000"/>
              <w:left w:val="nil"/>
              <w:bottom w:val="nil"/>
              <w:right w:val="single" w:sz="4" w:space="0" w:color="000000"/>
            </w:tcBorders>
            <w:shd w:val="clear" w:color="auto" w:fill="auto"/>
            <w:noWrap/>
            <w:vAlign w:val="center"/>
            <w:hideMark/>
          </w:tcPr>
          <w:p w14:paraId="540FCF1B"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9/24/2016</w:t>
            </w:r>
          </w:p>
        </w:tc>
        <w:tc>
          <w:tcPr>
            <w:tcW w:w="1628" w:type="dxa"/>
            <w:tcBorders>
              <w:top w:val="single" w:sz="4" w:space="0" w:color="000000"/>
              <w:left w:val="nil"/>
              <w:bottom w:val="nil"/>
              <w:right w:val="single" w:sz="4" w:space="0" w:color="000000"/>
            </w:tcBorders>
            <w:shd w:val="clear" w:color="auto" w:fill="auto"/>
            <w:noWrap/>
            <w:vAlign w:val="center"/>
            <w:hideMark/>
          </w:tcPr>
          <w:p w14:paraId="7D891D4A"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9/28/2016</w:t>
            </w:r>
          </w:p>
        </w:tc>
        <w:tc>
          <w:tcPr>
            <w:tcW w:w="1452" w:type="dxa"/>
            <w:tcBorders>
              <w:top w:val="single" w:sz="4" w:space="0" w:color="000000"/>
              <w:left w:val="nil"/>
              <w:bottom w:val="nil"/>
              <w:right w:val="single" w:sz="4" w:space="0" w:color="000000"/>
            </w:tcBorders>
            <w:shd w:val="clear" w:color="auto" w:fill="auto"/>
            <w:noWrap/>
            <w:vAlign w:val="center"/>
            <w:hideMark/>
          </w:tcPr>
          <w:p w14:paraId="1035A1F6"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9/24/2016</w:t>
            </w:r>
          </w:p>
        </w:tc>
      </w:tr>
      <w:tr w:rsidR="00A726DB" w:rsidRPr="00A726DB" w14:paraId="122EEEAA" w14:textId="77777777" w:rsidTr="001B70FE">
        <w:trPr>
          <w:trHeight w:val="255"/>
          <w:jc w:val="center"/>
        </w:trPr>
        <w:tc>
          <w:tcPr>
            <w:tcW w:w="1628" w:type="dxa"/>
            <w:tcBorders>
              <w:top w:val="nil"/>
              <w:left w:val="single" w:sz="4" w:space="0" w:color="000000"/>
              <w:bottom w:val="nil"/>
              <w:right w:val="single" w:sz="4" w:space="0" w:color="000000"/>
            </w:tcBorders>
            <w:shd w:val="clear" w:color="auto" w:fill="auto"/>
            <w:noWrap/>
            <w:vAlign w:val="center"/>
            <w:hideMark/>
          </w:tcPr>
          <w:p w14:paraId="4A69D36A"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10/20/2016</w:t>
            </w:r>
          </w:p>
        </w:tc>
        <w:tc>
          <w:tcPr>
            <w:tcW w:w="1452" w:type="dxa"/>
            <w:tcBorders>
              <w:top w:val="nil"/>
              <w:left w:val="nil"/>
              <w:bottom w:val="nil"/>
              <w:right w:val="single" w:sz="4" w:space="0" w:color="000000"/>
            </w:tcBorders>
            <w:shd w:val="clear" w:color="auto" w:fill="auto"/>
            <w:noWrap/>
            <w:vAlign w:val="center"/>
            <w:hideMark/>
          </w:tcPr>
          <w:p w14:paraId="58E0613F"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9/25/2016</w:t>
            </w:r>
          </w:p>
        </w:tc>
        <w:tc>
          <w:tcPr>
            <w:tcW w:w="1628" w:type="dxa"/>
            <w:tcBorders>
              <w:top w:val="nil"/>
              <w:left w:val="nil"/>
              <w:bottom w:val="nil"/>
              <w:right w:val="single" w:sz="4" w:space="0" w:color="000000"/>
            </w:tcBorders>
            <w:shd w:val="clear" w:color="auto" w:fill="auto"/>
            <w:noWrap/>
            <w:vAlign w:val="center"/>
            <w:hideMark/>
          </w:tcPr>
          <w:p w14:paraId="32FFA2A0"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9/29/2016</w:t>
            </w:r>
          </w:p>
        </w:tc>
        <w:tc>
          <w:tcPr>
            <w:tcW w:w="1452" w:type="dxa"/>
            <w:tcBorders>
              <w:top w:val="nil"/>
              <w:left w:val="nil"/>
              <w:bottom w:val="nil"/>
              <w:right w:val="single" w:sz="4" w:space="0" w:color="000000"/>
            </w:tcBorders>
            <w:shd w:val="clear" w:color="auto" w:fill="auto"/>
            <w:noWrap/>
            <w:vAlign w:val="center"/>
            <w:hideMark/>
          </w:tcPr>
          <w:p w14:paraId="140EADD1"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9/25/2016</w:t>
            </w:r>
          </w:p>
        </w:tc>
      </w:tr>
      <w:tr w:rsidR="00A726DB" w:rsidRPr="00A726DB" w14:paraId="4DC4350F" w14:textId="77777777" w:rsidTr="001B70FE">
        <w:trPr>
          <w:trHeight w:val="255"/>
          <w:jc w:val="center"/>
        </w:trPr>
        <w:tc>
          <w:tcPr>
            <w:tcW w:w="1628" w:type="dxa"/>
            <w:tcBorders>
              <w:top w:val="nil"/>
              <w:left w:val="single" w:sz="4" w:space="0" w:color="000000"/>
              <w:bottom w:val="nil"/>
              <w:right w:val="single" w:sz="4" w:space="0" w:color="000000"/>
            </w:tcBorders>
            <w:shd w:val="clear" w:color="auto" w:fill="auto"/>
            <w:noWrap/>
            <w:vAlign w:val="center"/>
            <w:hideMark/>
          </w:tcPr>
          <w:p w14:paraId="2D86AB07"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10/21/2016</w:t>
            </w:r>
          </w:p>
        </w:tc>
        <w:tc>
          <w:tcPr>
            <w:tcW w:w="1452" w:type="dxa"/>
            <w:tcBorders>
              <w:top w:val="nil"/>
              <w:left w:val="nil"/>
              <w:bottom w:val="nil"/>
              <w:right w:val="single" w:sz="4" w:space="0" w:color="000000"/>
            </w:tcBorders>
            <w:shd w:val="clear" w:color="auto" w:fill="auto"/>
            <w:noWrap/>
            <w:vAlign w:val="center"/>
            <w:hideMark/>
          </w:tcPr>
          <w:p w14:paraId="225BF905"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8/8/2016</w:t>
            </w:r>
          </w:p>
        </w:tc>
        <w:tc>
          <w:tcPr>
            <w:tcW w:w="1628" w:type="dxa"/>
            <w:tcBorders>
              <w:top w:val="nil"/>
              <w:left w:val="nil"/>
              <w:bottom w:val="nil"/>
              <w:right w:val="single" w:sz="4" w:space="0" w:color="000000"/>
            </w:tcBorders>
            <w:shd w:val="clear" w:color="auto" w:fill="auto"/>
            <w:noWrap/>
            <w:vAlign w:val="center"/>
            <w:hideMark/>
          </w:tcPr>
          <w:p w14:paraId="3D6D079D"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9/30/2016</w:t>
            </w:r>
          </w:p>
        </w:tc>
        <w:tc>
          <w:tcPr>
            <w:tcW w:w="1452" w:type="dxa"/>
            <w:tcBorders>
              <w:top w:val="nil"/>
              <w:left w:val="nil"/>
              <w:bottom w:val="nil"/>
              <w:right w:val="single" w:sz="4" w:space="0" w:color="000000"/>
            </w:tcBorders>
            <w:shd w:val="clear" w:color="auto" w:fill="auto"/>
            <w:noWrap/>
            <w:vAlign w:val="center"/>
            <w:hideMark/>
          </w:tcPr>
          <w:p w14:paraId="1AC9E0DD"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10/8/2016</w:t>
            </w:r>
          </w:p>
        </w:tc>
      </w:tr>
      <w:tr w:rsidR="00A726DB" w:rsidRPr="00A726DB" w14:paraId="25ED244F" w14:textId="77777777" w:rsidTr="001B70FE">
        <w:trPr>
          <w:trHeight w:val="255"/>
          <w:jc w:val="center"/>
        </w:trPr>
        <w:tc>
          <w:tcPr>
            <w:tcW w:w="1628" w:type="dxa"/>
            <w:tcBorders>
              <w:top w:val="nil"/>
              <w:left w:val="single" w:sz="4" w:space="0" w:color="000000"/>
              <w:bottom w:val="nil"/>
              <w:right w:val="single" w:sz="4" w:space="0" w:color="000000"/>
            </w:tcBorders>
            <w:shd w:val="clear" w:color="auto" w:fill="auto"/>
            <w:noWrap/>
            <w:vAlign w:val="center"/>
            <w:hideMark/>
          </w:tcPr>
          <w:p w14:paraId="7B3451D1"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6/26/2017</w:t>
            </w:r>
          </w:p>
        </w:tc>
        <w:tc>
          <w:tcPr>
            <w:tcW w:w="1452" w:type="dxa"/>
            <w:tcBorders>
              <w:top w:val="nil"/>
              <w:left w:val="nil"/>
              <w:bottom w:val="nil"/>
              <w:right w:val="single" w:sz="4" w:space="0" w:color="000000"/>
            </w:tcBorders>
            <w:shd w:val="clear" w:color="auto" w:fill="auto"/>
            <w:noWrap/>
            <w:vAlign w:val="center"/>
            <w:hideMark/>
          </w:tcPr>
          <w:p w14:paraId="2133C92C"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8/19/2016</w:t>
            </w:r>
          </w:p>
        </w:tc>
        <w:tc>
          <w:tcPr>
            <w:tcW w:w="1628" w:type="dxa"/>
            <w:tcBorders>
              <w:top w:val="nil"/>
              <w:left w:val="nil"/>
              <w:bottom w:val="nil"/>
              <w:right w:val="single" w:sz="4" w:space="0" w:color="000000"/>
            </w:tcBorders>
            <w:shd w:val="clear" w:color="auto" w:fill="auto"/>
            <w:noWrap/>
            <w:vAlign w:val="center"/>
            <w:hideMark/>
          </w:tcPr>
          <w:p w14:paraId="5AB95567"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10/20/2016</w:t>
            </w:r>
          </w:p>
        </w:tc>
        <w:tc>
          <w:tcPr>
            <w:tcW w:w="1452" w:type="dxa"/>
            <w:tcBorders>
              <w:top w:val="nil"/>
              <w:left w:val="nil"/>
              <w:bottom w:val="nil"/>
              <w:right w:val="single" w:sz="4" w:space="0" w:color="000000"/>
            </w:tcBorders>
            <w:shd w:val="clear" w:color="auto" w:fill="auto"/>
            <w:noWrap/>
            <w:vAlign w:val="center"/>
            <w:hideMark/>
          </w:tcPr>
          <w:p w14:paraId="130E4802"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10/9/2016</w:t>
            </w:r>
          </w:p>
        </w:tc>
      </w:tr>
      <w:tr w:rsidR="00A726DB" w:rsidRPr="00A726DB" w14:paraId="7602C602" w14:textId="77777777" w:rsidTr="001B70FE">
        <w:trPr>
          <w:trHeight w:val="255"/>
          <w:jc w:val="center"/>
        </w:trPr>
        <w:tc>
          <w:tcPr>
            <w:tcW w:w="1628" w:type="dxa"/>
            <w:tcBorders>
              <w:top w:val="nil"/>
              <w:left w:val="single" w:sz="4" w:space="0" w:color="000000"/>
              <w:bottom w:val="nil"/>
              <w:right w:val="single" w:sz="4" w:space="0" w:color="000000"/>
            </w:tcBorders>
            <w:shd w:val="clear" w:color="auto" w:fill="auto"/>
            <w:noWrap/>
            <w:vAlign w:val="center"/>
            <w:hideMark/>
          </w:tcPr>
          <w:p w14:paraId="1596AB4A"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7/7/2017</w:t>
            </w:r>
          </w:p>
        </w:tc>
        <w:tc>
          <w:tcPr>
            <w:tcW w:w="1452" w:type="dxa"/>
            <w:tcBorders>
              <w:top w:val="nil"/>
              <w:left w:val="nil"/>
              <w:bottom w:val="nil"/>
              <w:right w:val="single" w:sz="4" w:space="0" w:color="000000"/>
            </w:tcBorders>
            <w:shd w:val="clear" w:color="auto" w:fill="auto"/>
            <w:noWrap/>
            <w:vAlign w:val="center"/>
            <w:hideMark/>
          </w:tcPr>
          <w:p w14:paraId="5035FF63"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7/8/2017</w:t>
            </w:r>
          </w:p>
        </w:tc>
        <w:tc>
          <w:tcPr>
            <w:tcW w:w="1628" w:type="dxa"/>
            <w:tcBorders>
              <w:top w:val="nil"/>
              <w:left w:val="nil"/>
              <w:bottom w:val="nil"/>
              <w:right w:val="single" w:sz="4" w:space="0" w:color="000000"/>
            </w:tcBorders>
            <w:shd w:val="clear" w:color="auto" w:fill="auto"/>
            <w:noWrap/>
            <w:vAlign w:val="center"/>
            <w:hideMark/>
          </w:tcPr>
          <w:p w14:paraId="42935A12"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10/21/2016</w:t>
            </w:r>
          </w:p>
        </w:tc>
        <w:tc>
          <w:tcPr>
            <w:tcW w:w="1452" w:type="dxa"/>
            <w:tcBorders>
              <w:top w:val="nil"/>
              <w:left w:val="nil"/>
              <w:bottom w:val="nil"/>
              <w:right w:val="single" w:sz="4" w:space="0" w:color="000000"/>
            </w:tcBorders>
            <w:shd w:val="clear" w:color="auto" w:fill="auto"/>
            <w:noWrap/>
            <w:vAlign w:val="center"/>
            <w:hideMark/>
          </w:tcPr>
          <w:p w14:paraId="29F34DF7"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7/8/2017</w:t>
            </w:r>
          </w:p>
        </w:tc>
      </w:tr>
      <w:tr w:rsidR="00A726DB" w:rsidRPr="00A726DB" w14:paraId="1FD0600D" w14:textId="77777777" w:rsidTr="001B70FE">
        <w:trPr>
          <w:trHeight w:val="255"/>
          <w:jc w:val="center"/>
        </w:trPr>
        <w:tc>
          <w:tcPr>
            <w:tcW w:w="1628" w:type="dxa"/>
            <w:tcBorders>
              <w:top w:val="nil"/>
              <w:left w:val="single" w:sz="4" w:space="0" w:color="000000"/>
              <w:bottom w:val="nil"/>
              <w:right w:val="single" w:sz="4" w:space="0" w:color="000000"/>
            </w:tcBorders>
            <w:shd w:val="clear" w:color="auto" w:fill="auto"/>
            <w:noWrap/>
            <w:vAlign w:val="center"/>
            <w:hideMark/>
          </w:tcPr>
          <w:p w14:paraId="63732D4A"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8/2/2017</w:t>
            </w:r>
          </w:p>
        </w:tc>
        <w:tc>
          <w:tcPr>
            <w:tcW w:w="1452" w:type="dxa"/>
            <w:tcBorders>
              <w:top w:val="nil"/>
              <w:left w:val="nil"/>
              <w:bottom w:val="nil"/>
              <w:right w:val="single" w:sz="4" w:space="0" w:color="000000"/>
            </w:tcBorders>
            <w:shd w:val="clear" w:color="auto" w:fill="auto"/>
            <w:noWrap/>
            <w:vAlign w:val="center"/>
            <w:hideMark/>
          </w:tcPr>
          <w:p w14:paraId="549D65BE"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7/9/2017</w:t>
            </w:r>
          </w:p>
        </w:tc>
        <w:tc>
          <w:tcPr>
            <w:tcW w:w="1628" w:type="dxa"/>
            <w:tcBorders>
              <w:top w:val="nil"/>
              <w:left w:val="nil"/>
              <w:bottom w:val="nil"/>
              <w:right w:val="single" w:sz="4" w:space="0" w:color="000000"/>
            </w:tcBorders>
            <w:shd w:val="clear" w:color="auto" w:fill="auto"/>
            <w:noWrap/>
            <w:vAlign w:val="center"/>
            <w:hideMark/>
          </w:tcPr>
          <w:p w14:paraId="35551F83"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6/26/2017</w:t>
            </w:r>
          </w:p>
        </w:tc>
        <w:tc>
          <w:tcPr>
            <w:tcW w:w="1452" w:type="dxa"/>
            <w:tcBorders>
              <w:top w:val="nil"/>
              <w:left w:val="nil"/>
              <w:bottom w:val="nil"/>
              <w:right w:val="single" w:sz="4" w:space="0" w:color="000000"/>
            </w:tcBorders>
            <w:shd w:val="clear" w:color="auto" w:fill="auto"/>
            <w:noWrap/>
            <w:vAlign w:val="center"/>
            <w:hideMark/>
          </w:tcPr>
          <w:p w14:paraId="1DA6B73D"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7/9/2017</w:t>
            </w:r>
          </w:p>
        </w:tc>
      </w:tr>
      <w:tr w:rsidR="00A726DB" w:rsidRPr="00A726DB" w14:paraId="7B32F228" w14:textId="77777777" w:rsidTr="001B70FE">
        <w:trPr>
          <w:trHeight w:val="255"/>
          <w:jc w:val="center"/>
        </w:trPr>
        <w:tc>
          <w:tcPr>
            <w:tcW w:w="1628" w:type="dxa"/>
            <w:tcBorders>
              <w:top w:val="nil"/>
              <w:left w:val="single" w:sz="4" w:space="0" w:color="000000"/>
              <w:bottom w:val="nil"/>
              <w:right w:val="single" w:sz="4" w:space="0" w:color="000000"/>
            </w:tcBorders>
            <w:shd w:val="clear" w:color="auto" w:fill="auto"/>
            <w:noWrap/>
            <w:vAlign w:val="center"/>
            <w:hideMark/>
          </w:tcPr>
          <w:p w14:paraId="180191BD"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8/3/2017</w:t>
            </w:r>
          </w:p>
        </w:tc>
        <w:tc>
          <w:tcPr>
            <w:tcW w:w="1452" w:type="dxa"/>
            <w:tcBorders>
              <w:top w:val="nil"/>
              <w:left w:val="nil"/>
              <w:bottom w:val="nil"/>
              <w:right w:val="single" w:sz="4" w:space="0" w:color="000000"/>
            </w:tcBorders>
            <w:shd w:val="clear" w:color="auto" w:fill="auto"/>
            <w:noWrap/>
            <w:vAlign w:val="center"/>
            <w:hideMark/>
          </w:tcPr>
          <w:p w14:paraId="0F40D049"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7/23/2017</w:t>
            </w:r>
          </w:p>
        </w:tc>
        <w:tc>
          <w:tcPr>
            <w:tcW w:w="1628" w:type="dxa"/>
            <w:tcBorders>
              <w:top w:val="nil"/>
              <w:left w:val="nil"/>
              <w:bottom w:val="nil"/>
              <w:right w:val="single" w:sz="4" w:space="0" w:color="000000"/>
            </w:tcBorders>
            <w:shd w:val="clear" w:color="auto" w:fill="auto"/>
            <w:noWrap/>
            <w:vAlign w:val="center"/>
            <w:hideMark/>
          </w:tcPr>
          <w:p w14:paraId="44834514"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7/7/2017</w:t>
            </w:r>
          </w:p>
        </w:tc>
        <w:tc>
          <w:tcPr>
            <w:tcW w:w="1452" w:type="dxa"/>
            <w:tcBorders>
              <w:top w:val="nil"/>
              <w:left w:val="nil"/>
              <w:bottom w:val="nil"/>
              <w:right w:val="single" w:sz="4" w:space="0" w:color="000000"/>
            </w:tcBorders>
            <w:shd w:val="clear" w:color="auto" w:fill="auto"/>
            <w:noWrap/>
            <w:vAlign w:val="center"/>
            <w:hideMark/>
          </w:tcPr>
          <w:p w14:paraId="7AFDF1D2"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7/23/2017</w:t>
            </w:r>
          </w:p>
        </w:tc>
      </w:tr>
      <w:tr w:rsidR="00A726DB" w:rsidRPr="00A726DB" w14:paraId="1E68B642" w14:textId="77777777" w:rsidTr="001B70FE">
        <w:trPr>
          <w:trHeight w:val="255"/>
          <w:jc w:val="center"/>
        </w:trPr>
        <w:tc>
          <w:tcPr>
            <w:tcW w:w="1628" w:type="dxa"/>
            <w:tcBorders>
              <w:top w:val="nil"/>
              <w:left w:val="single" w:sz="4" w:space="0" w:color="000000"/>
              <w:bottom w:val="nil"/>
              <w:right w:val="single" w:sz="4" w:space="0" w:color="000000"/>
            </w:tcBorders>
            <w:shd w:val="clear" w:color="auto" w:fill="auto"/>
            <w:noWrap/>
            <w:vAlign w:val="center"/>
            <w:hideMark/>
          </w:tcPr>
          <w:p w14:paraId="6C80E5E2"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8/29/2017</w:t>
            </w:r>
          </w:p>
        </w:tc>
        <w:tc>
          <w:tcPr>
            <w:tcW w:w="1452" w:type="dxa"/>
            <w:tcBorders>
              <w:top w:val="nil"/>
              <w:left w:val="nil"/>
              <w:bottom w:val="nil"/>
              <w:right w:val="single" w:sz="4" w:space="0" w:color="000000"/>
            </w:tcBorders>
            <w:shd w:val="clear" w:color="auto" w:fill="auto"/>
            <w:noWrap/>
            <w:vAlign w:val="center"/>
            <w:hideMark/>
          </w:tcPr>
          <w:p w14:paraId="28000AF6"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8/27/2017</w:t>
            </w:r>
          </w:p>
        </w:tc>
        <w:tc>
          <w:tcPr>
            <w:tcW w:w="1628" w:type="dxa"/>
            <w:tcBorders>
              <w:top w:val="nil"/>
              <w:left w:val="nil"/>
              <w:bottom w:val="nil"/>
              <w:right w:val="single" w:sz="4" w:space="0" w:color="000000"/>
            </w:tcBorders>
            <w:shd w:val="clear" w:color="auto" w:fill="auto"/>
            <w:noWrap/>
            <w:vAlign w:val="center"/>
            <w:hideMark/>
          </w:tcPr>
          <w:p w14:paraId="24B13C96"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7/10/2017</w:t>
            </w:r>
          </w:p>
        </w:tc>
        <w:tc>
          <w:tcPr>
            <w:tcW w:w="1452" w:type="dxa"/>
            <w:tcBorders>
              <w:top w:val="nil"/>
              <w:left w:val="nil"/>
              <w:bottom w:val="nil"/>
              <w:right w:val="single" w:sz="4" w:space="0" w:color="000000"/>
            </w:tcBorders>
            <w:shd w:val="clear" w:color="auto" w:fill="auto"/>
            <w:noWrap/>
            <w:vAlign w:val="center"/>
            <w:hideMark/>
          </w:tcPr>
          <w:p w14:paraId="3E6E0954"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8/27/2017</w:t>
            </w:r>
          </w:p>
        </w:tc>
      </w:tr>
      <w:tr w:rsidR="00A726DB" w:rsidRPr="00A726DB" w14:paraId="2D1FD121" w14:textId="77777777" w:rsidTr="001B70FE">
        <w:trPr>
          <w:trHeight w:val="255"/>
          <w:jc w:val="center"/>
        </w:trPr>
        <w:tc>
          <w:tcPr>
            <w:tcW w:w="1628" w:type="dxa"/>
            <w:tcBorders>
              <w:top w:val="nil"/>
              <w:left w:val="single" w:sz="4" w:space="0" w:color="000000"/>
              <w:bottom w:val="nil"/>
              <w:right w:val="single" w:sz="4" w:space="0" w:color="000000"/>
            </w:tcBorders>
            <w:shd w:val="clear" w:color="auto" w:fill="auto"/>
            <w:noWrap/>
            <w:vAlign w:val="center"/>
            <w:hideMark/>
          </w:tcPr>
          <w:p w14:paraId="3224B42E"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8/30/2017</w:t>
            </w:r>
          </w:p>
        </w:tc>
        <w:tc>
          <w:tcPr>
            <w:tcW w:w="1452" w:type="dxa"/>
            <w:tcBorders>
              <w:top w:val="nil"/>
              <w:left w:val="nil"/>
              <w:bottom w:val="nil"/>
              <w:right w:val="single" w:sz="4" w:space="0" w:color="000000"/>
            </w:tcBorders>
            <w:shd w:val="clear" w:color="auto" w:fill="auto"/>
            <w:noWrap/>
            <w:vAlign w:val="center"/>
            <w:hideMark/>
          </w:tcPr>
          <w:p w14:paraId="45211703"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9/9/2017</w:t>
            </w:r>
          </w:p>
        </w:tc>
        <w:tc>
          <w:tcPr>
            <w:tcW w:w="1628" w:type="dxa"/>
            <w:tcBorders>
              <w:top w:val="nil"/>
              <w:left w:val="nil"/>
              <w:bottom w:val="nil"/>
              <w:right w:val="single" w:sz="4" w:space="0" w:color="000000"/>
            </w:tcBorders>
            <w:shd w:val="clear" w:color="auto" w:fill="auto"/>
            <w:noWrap/>
            <w:vAlign w:val="center"/>
            <w:hideMark/>
          </w:tcPr>
          <w:p w14:paraId="217CA0D0"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8/4/2014</w:t>
            </w:r>
          </w:p>
        </w:tc>
        <w:tc>
          <w:tcPr>
            <w:tcW w:w="1452" w:type="dxa"/>
            <w:tcBorders>
              <w:top w:val="nil"/>
              <w:left w:val="nil"/>
              <w:bottom w:val="nil"/>
              <w:right w:val="single" w:sz="4" w:space="0" w:color="000000"/>
            </w:tcBorders>
            <w:shd w:val="clear" w:color="auto" w:fill="auto"/>
            <w:noWrap/>
            <w:vAlign w:val="center"/>
            <w:hideMark/>
          </w:tcPr>
          <w:p w14:paraId="4532136B"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9/9/2017</w:t>
            </w:r>
          </w:p>
        </w:tc>
      </w:tr>
      <w:tr w:rsidR="00A726DB" w:rsidRPr="00A726DB" w14:paraId="4B2E1A1B" w14:textId="77777777" w:rsidTr="001B70FE">
        <w:trPr>
          <w:trHeight w:val="255"/>
          <w:jc w:val="center"/>
        </w:trPr>
        <w:tc>
          <w:tcPr>
            <w:tcW w:w="1628" w:type="dxa"/>
            <w:tcBorders>
              <w:top w:val="nil"/>
              <w:left w:val="single" w:sz="4" w:space="0" w:color="000000"/>
              <w:bottom w:val="single" w:sz="4" w:space="0" w:color="000000"/>
              <w:right w:val="single" w:sz="4" w:space="0" w:color="000000"/>
            </w:tcBorders>
            <w:shd w:val="clear" w:color="auto" w:fill="auto"/>
            <w:noWrap/>
            <w:vAlign w:val="center"/>
            <w:hideMark/>
          </w:tcPr>
          <w:p w14:paraId="38A6AFFD"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9/11/2017</w:t>
            </w:r>
          </w:p>
        </w:tc>
        <w:tc>
          <w:tcPr>
            <w:tcW w:w="1452" w:type="dxa"/>
            <w:tcBorders>
              <w:top w:val="nil"/>
              <w:left w:val="nil"/>
              <w:bottom w:val="single" w:sz="4" w:space="0" w:color="000000"/>
              <w:right w:val="single" w:sz="4" w:space="0" w:color="000000"/>
            </w:tcBorders>
            <w:shd w:val="clear" w:color="auto" w:fill="auto"/>
            <w:noWrap/>
            <w:vAlign w:val="center"/>
            <w:hideMark/>
          </w:tcPr>
          <w:p w14:paraId="6DBA3DF2"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9/10/2017</w:t>
            </w:r>
          </w:p>
        </w:tc>
        <w:tc>
          <w:tcPr>
            <w:tcW w:w="1628" w:type="dxa"/>
            <w:tcBorders>
              <w:top w:val="nil"/>
              <w:left w:val="nil"/>
              <w:bottom w:val="single" w:sz="4" w:space="0" w:color="000000"/>
              <w:right w:val="single" w:sz="4" w:space="0" w:color="000000"/>
            </w:tcBorders>
            <w:shd w:val="clear" w:color="auto" w:fill="auto"/>
            <w:noWrap/>
            <w:vAlign w:val="center"/>
            <w:hideMark/>
          </w:tcPr>
          <w:p w14:paraId="1CE7603B"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8/30/2014</w:t>
            </w:r>
          </w:p>
        </w:tc>
        <w:tc>
          <w:tcPr>
            <w:tcW w:w="1452" w:type="dxa"/>
            <w:tcBorders>
              <w:top w:val="nil"/>
              <w:left w:val="nil"/>
              <w:bottom w:val="single" w:sz="4" w:space="0" w:color="000000"/>
              <w:right w:val="single" w:sz="4" w:space="0" w:color="000000"/>
            </w:tcBorders>
            <w:shd w:val="clear" w:color="auto" w:fill="auto"/>
            <w:noWrap/>
            <w:vAlign w:val="center"/>
            <w:hideMark/>
          </w:tcPr>
          <w:p w14:paraId="73637FE3" w14:textId="77777777" w:rsidR="00A726DB" w:rsidRPr="00A726DB" w:rsidRDefault="00A726DB" w:rsidP="00237521">
            <w:pPr>
              <w:keepNext/>
              <w:jc w:val="center"/>
              <w:rPr>
                <w:rFonts w:ascii="Arial" w:hAnsi="Arial" w:cs="Arial"/>
                <w:sz w:val="20"/>
                <w:szCs w:val="20"/>
              </w:rPr>
            </w:pPr>
            <w:r w:rsidRPr="00A726DB">
              <w:rPr>
                <w:rFonts w:ascii="Arial" w:hAnsi="Arial" w:cs="Arial"/>
                <w:sz w:val="20"/>
                <w:szCs w:val="20"/>
              </w:rPr>
              <w:t>9/10/2017</w:t>
            </w:r>
          </w:p>
        </w:tc>
      </w:tr>
    </w:tbl>
    <w:p w14:paraId="3F698B08" w14:textId="77777777" w:rsidR="00A726DB" w:rsidRDefault="00A726DB" w:rsidP="00237521">
      <w:pPr>
        <w:spacing w:after="120"/>
        <w:jc w:val="center"/>
      </w:pPr>
    </w:p>
    <w:p w14:paraId="6FA6EEAB" w14:textId="5970D038" w:rsidR="008C7C70" w:rsidRDefault="002B5065" w:rsidP="00095AB1">
      <w:pPr>
        <w:spacing w:after="120"/>
      </w:pPr>
      <w:r>
        <w:t xml:space="preserve">For analyzing TOU impacts, for both </w:t>
      </w:r>
      <w:r w:rsidR="005E5D58">
        <w:t>CPP</w:t>
      </w:r>
      <w:r>
        <w:t xml:space="preserve"> and TOU customers, </w:t>
      </w:r>
      <w:r w:rsidR="006E1109">
        <w:t xml:space="preserve">only incremental </w:t>
      </w:r>
      <w:r>
        <w:t xml:space="preserve">treatment customers were </w:t>
      </w:r>
      <w:r w:rsidR="00204D0B">
        <w:t xml:space="preserve">used in the analysis and </w:t>
      </w:r>
      <w:r>
        <w:t xml:space="preserve">matched </w:t>
      </w:r>
      <w:r w:rsidR="00FE6171">
        <w:t>based on</w:t>
      </w:r>
      <w:r>
        <w:t xml:space="preserve"> loads</w:t>
      </w:r>
      <w:r w:rsidR="009061DE">
        <w:t xml:space="preserve"> in the pre-treatment period </w:t>
      </w:r>
      <w:r w:rsidR="009061DE" w:rsidRPr="00237521">
        <w:t>(</w:t>
      </w:r>
      <w:r w:rsidRPr="00237521">
        <w:t>Novem</w:t>
      </w:r>
      <w:r w:rsidR="009061DE" w:rsidRPr="00237521">
        <w:t>ber 201</w:t>
      </w:r>
      <w:r w:rsidR="00087A4D">
        <w:t>5</w:t>
      </w:r>
      <w:r w:rsidR="009061DE" w:rsidRPr="00237521">
        <w:t xml:space="preserve"> through September 201</w:t>
      </w:r>
      <w:r w:rsidR="00087A4D">
        <w:t>6</w:t>
      </w:r>
      <w:r w:rsidR="009061DE" w:rsidRPr="00237521">
        <w:t>)</w:t>
      </w:r>
      <w:r w:rsidR="009061DE" w:rsidRPr="00204D0B">
        <w:t>.</w:t>
      </w:r>
      <w:r w:rsidR="009061DE">
        <w:t xml:space="preserve"> </w:t>
      </w:r>
      <w:r w:rsidR="00AD0655">
        <w:t>We use only incremental customers in the TOU load impact study because these customers have enough pre-treatment data to provide a quality difference-in-difference analysis. The matching and regression analysis is separated by season, thus allowing different threshold dates that define incremental customers.</w:t>
      </w:r>
      <w:r w:rsidR="00AD0655" w:rsidRPr="00AD0655">
        <w:t xml:space="preserve"> </w:t>
      </w:r>
      <w:r w:rsidR="00AD0655">
        <w:t xml:space="preserve">Specifically, incremental customers for the winter analysis are those that enrolled after May 1, 2016 while incremental customers for the summer analysis are those that enrolled after September 1, 2016. </w:t>
      </w:r>
      <w:r w:rsidR="009061DE">
        <w:t xml:space="preserve">The </w:t>
      </w:r>
      <w:r w:rsidR="00760F24">
        <w:t xml:space="preserve">incremental </w:t>
      </w:r>
      <w:r w:rsidR="009061DE">
        <w:t xml:space="preserve">TOU customers were matched based on </w:t>
      </w:r>
      <w:r>
        <w:t>two pairs of hourly loads</w:t>
      </w:r>
      <w:r w:rsidR="006269DF">
        <w:t xml:space="preserve"> for each season</w:t>
      </w:r>
      <w:r w:rsidR="008C7C70">
        <w:t xml:space="preserve"> – o</w:t>
      </w:r>
      <w:r>
        <w:t xml:space="preserve">ne for all weekdays, and one for a subset of the hottest (or coldest) weekdays. </w:t>
      </w:r>
      <w:r w:rsidR="008C7C70">
        <w:t xml:space="preserve">Matching for the </w:t>
      </w:r>
      <w:r w:rsidR="0047486A">
        <w:rPr>
          <w:i/>
        </w:rPr>
        <w:t>winter</w:t>
      </w:r>
      <w:r w:rsidR="008C7C70">
        <w:t xml:space="preserve"> season used data for November 201</w:t>
      </w:r>
      <w:r w:rsidR="00FE6171">
        <w:t>5</w:t>
      </w:r>
      <w:r w:rsidR="008C7C70">
        <w:t xml:space="preserve"> through April 201</w:t>
      </w:r>
      <w:r w:rsidR="00FE6171">
        <w:t>6</w:t>
      </w:r>
      <w:r w:rsidR="008C7C70">
        <w:t xml:space="preserve">, while that for the </w:t>
      </w:r>
      <w:r w:rsidR="008C7C70" w:rsidRPr="008C7C70">
        <w:rPr>
          <w:i/>
        </w:rPr>
        <w:t>summer</w:t>
      </w:r>
      <w:r w:rsidR="008C7C70">
        <w:t xml:space="preserve"> season used data for May through </w:t>
      </w:r>
      <w:r w:rsidR="00690C36">
        <w:t xml:space="preserve">August </w:t>
      </w:r>
      <w:r w:rsidR="008C7C70">
        <w:t>of 201</w:t>
      </w:r>
      <w:r w:rsidR="00FE6171">
        <w:t>6</w:t>
      </w:r>
      <w:r w:rsidR="008C7C70">
        <w:t xml:space="preserve">. </w:t>
      </w:r>
    </w:p>
    <w:p w14:paraId="1B4BF7DB" w14:textId="7D55B904" w:rsidR="00AF2C7E" w:rsidRDefault="009061DE" w:rsidP="00095AB1">
      <w:pPr>
        <w:spacing w:after="120"/>
      </w:pPr>
      <w:r>
        <w:t>Matching was based on Euclidean distance minimization between treatment and potential control group customer loads.</w:t>
      </w:r>
      <w:r w:rsidR="008C7C70" w:rsidRPr="008C7C70">
        <w:t xml:space="preserve"> </w:t>
      </w:r>
      <w:r w:rsidR="008C7C70">
        <w:t>This approach minimizes the difference between a standardized usage metric of the treatment and potential control group customers</w:t>
      </w:r>
      <w:r w:rsidR="00C73A5E">
        <w:t xml:space="preserve"> as shown in the equation below</w:t>
      </w:r>
      <w:r w:rsidR="008C7C70">
        <w:t xml:space="preserve">. </w:t>
      </w:r>
    </w:p>
    <w:p w14:paraId="623FC799" w14:textId="67AC3AC1" w:rsidR="00C73A5E" w:rsidRDefault="002C1FA8" w:rsidP="00237521">
      <w:pPr>
        <w:spacing w:before="240" w:after="240"/>
      </w:pPr>
      <m:oMathPara>
        <m:oMath>
          <m:sSub>
            <m:sSubPr>
              <m:ctrlPr>
                <w:rPr>
                  <w:rFonts w:ascii="Cambria Math" w:hAnsi="Cambria Math"/>
                  <w:i/>
                </w:rPr>
              </m:ctrlPr>
            </m:sSubPr>
            <m:e>
              <m:r>
                <w:rPr>
                  <w:rFonts w:ascii="Cambria Math" w:hAnsi="Cambria Math"/>
                </w:rPr>
                <m:t>Distance</m:t>
              </m:r>
            </m:e>
            <m:sub>
              <m:r>
                <w:rPr>
                  <w:rFonts w:ascii="Cambria Math" w:hAnsi="Cambria Math"/>
                </w:rPr>
                <m:t>T,C</m:t>
              </m:r>
            </m:sub>
          </m:sSub>
          <m:r>
            <w:rPr>
              <w:rFonts w:ascii="Cambria Math" w:hAnsi="Cambria Math"/>
            </w:rPr>
            <m:t xml:space="preserve">= </m:t>
          </m:r>
          <m:rad>
            <m:radPr>
              <m:degHide m:val="1"/>
              <m:ctrlPr>
                <w:rPr>
                  <w:rFonts w:ascii="Cambria Math" w:hAnsi="Cambria Math"/>
                  <w:i/>
                </w:rPr>
              </m:ctrlPr>
            </m:radPr>
            <m:deg/>
            <m:e>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2</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2</m:t>
                      </m:r>
                    </m:sub>
                  </m:sSub>
                  <m:r>
                    <w:rPr>
                      <w:rFonts w:ascii="Cambria Math" w:hAnsi="Cambria Math"/>
                    </w:rPr>
                    <m:t>)</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T</m:t>
                      </m:r>
                    </m:e>
                    <m:sub>
                      <m:r>
                        <w:rPr>
                          <w:rFonts w:ascii="Cambria Math" w:hAnsi="Cambria Math"/>
                        </w:rPr>
                        <m:t>n</m:t>
                      </m:r>
                    </m:sub>
                  </m:sSub>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n</m:t>
                      </m:r>
                    </m:sub>
                  </m:sSub>
                  <m:r>
                    <w:rPr>
                      <w:rFonts w:ascii="Cambria Math" w:hAnsi="Cambria Math"/>
                    </w:rPr>
                    <m:t>)</m:t>
                  </m:r>
                </m:e>
                <m:sup>
                  <m:r>
                    <w:rPr>
                      <w:rFonts w:ascii="Cambria Math" w:hAnsi="Cambria Math"/>
                    </w:rPr>
                    <m:t>2</m:t>
                  </m:r>
                </m:sup>
              </m:sSup>
            </m:e>
          </m:rad>
        </m:oMath>
      </m:oMathPara>
    </w:p>
    <w:p w14:paraId="1649CEFA" w14:textId="4A340D0A" w:rsidR="009061DE" w:rsidRPr="009061DE" w:rsidRDefault="00C73A5E" w:rsidP="00095AB1">
      <w:pPr>
        <w:spacing w:after="120"/>
      </w:pPr>
      <w:r>
        <w:t xml:space="preserve">In this equation, the </w:t>
      </w:r>
      <w:r w:rsidRPr="004600F2">
        <w:rPr>
          <w:i/>
        </w:rPr>
        <w:t>T</w:t>
      </w:r>
      <w:r>
        <w:t xml:space="preserve"> variables represent treatment customer characteristics and the </w:t>
      </w:r>
      <w:r w:rsidRPr="004600F2">
        <w:rPr>
          <w:i/>
        </w:rPr>
        <w:t>C</w:t>
      </w:r>
      <w:r>
        <w:t xml:space="preserve"> variables represent the corresponding eligible control group customer characteristics. </w:t>
      </w:r>
      <w:r w:rsidR="007F4E20">
        <w:t xml:space="preserve">As described, separate matches and therefore sets of variables are used for the for the CPP and TOU analyses. </w:t>
      </w:r>
      <w:r>
        <w:t>For matching in the CPP analysis</w:t>
      </w:r>
      <w:r w:rsidR="0047486A">
        <w:t>,</w:t>
      </w:r>
      <w:r>
        <w:t xml:space="preserve"> the customer characteristic</w:t>
      </w:r>
      <w:r w:rsidR="007F4E20">
        <w:t>s include</w:t>
      </w:r>
      <w:r>
        <w:t xml:space="preserve"> the average hourly usage on weekdays and weekends (48 variables).</w:t>
      </w:r>
      <w:r w:rsidR="0047486A">
        <w:t xml:space="preserve"> </w:t>
      </w:r>
      <w:r>
        <w:t xml:space="preserve">For the TOU analysis, </w:t>
      </w:r>
      <w:r w:rsidR="0047486A">
        <w:t>t</w:t>
      </w:r>
      <w:r w:rsidR="008C7C70" w:rsidRPr="00774EF3">
        <w:t xml:space="preserve">he </w:t>
      </w:r>
      <w:r>
        <w:t>customer characteristic</w:t>
      </w:r>
      <w:r w:rsidR="007F4E20">
        <w:t>s include</w:t>
      </w:r>
      <w:r>
        <w:t xml:space="preserve"> the average hourly usage on weekdays and</w:t>
      </w:r>
      <w:r w:rsidR="008F7190">
        <w:t xml:space="preserve"> </w:t>
      </w:r>
      <w:r>
        <w:t>hot</w:t>
      </w:r>
      <w:r w:rsidR="007F4E20">
        <w:t>/cold</w:t>
      </w:r>
      <w:r w:rsidR="008F7190">
        <w:t xml:space="preserve"> </w:t>
      </w:r>
      <w:r w:rsidR="007F4E20">
        <w:t>days for the summer/winter match</w:t>
      </w:r>
      <w:r w:rsidR="008F7190">
        <w:t xml:space="preserve"> </w:t>
      </w:r>
      <w:r>
        <w:t xml:space="preserve">(48 variables). </w:t>
      </w:r>
      <w:r w:rsidR="00B13B24">
        <w:t xml:space="preserve"> Treatment and potential control customers are also segmented by climate zone, CARE status, and enrollment in RYU. </w:t>
      </w:r>
      <w:r w:rsidR="007F4E20">
        <w:t>E</w:t>
      </w:r>
      <w:r w:rsidR="008C7C70">
        <w:t xml:space="preserve">ach enrolled customer is compared to each potential control group </w:t>
      </w:r>
      <w:r w:rsidR="008C7C70">
        <w:lastRenderedPageBreak/>
        <w:t>customer</w:t>
      </w:r>
      <w:r w:rsidR="00B13B24">
        <w:t xml:space="preserve"> within their segment</w:t>
      </w:r>
      <w:r w:rsidR="008C7C70">
        <w:t xml:space="preserve">, using the distance measure. When the minimum distance statistic is found, the potential control group customer associated with that value is selected as the match for that TOU customer. Potential control group customers were allowed to be matched </w:t>
      </w:r>
      <w:r w:rsidR="007F4E20">
        <w:t>with replacement (</w:t>
      </w:r>
      <w:r w:rsidR="007F4E20" w:rsidRPr="00237521">
        <w:rPr>
          <w:i/>
        </w:rPr>
        <w:t>i.e.</w:t>
      </w:r>
      <w:r w:rsidR="007F4E20">
        <w:t>,</w:t>
      </w:r>
      <w:r w:rsidR="005348B5">
        <w:t xml:space="preserve"> matched</w:t>
      </w:r>
      <w:r w:rsidR="007F4E20">
        <w:t xml:space="preserve"> </w:t>
      </w:r>
      <w:r w:rsidR="008C7C70">
        <w:t>to multiple enrolled customers</w:t>
      </w:r>
      <w:r w:rsidR="005348B5">
        <w:t>)</w:t>
      </w:r>
      <w:r w:rsidR="008C7C70">
        <w:t>.</w:t>
      </w:r>
    </w:p>
    <w:p w14:paraId="0FE40D48" w14:textId="163D0E05" w:rsidR="008C3673" w:rsidRPr="004132DB" w:rsidRDefault="00DF1FE1" w:rsidP="00095AB1">
      <w:pPr>
        <w:pStyle w:val="Heading3"/>
        <w:spacing w:after="120"/>
      </w:pPr>
      <w:bookmarkStart w:id="58" w:name="_Toc509576750"/>
      <w:r>
        <w:t xml:space="preserve">3.2.2 </w:t>
      </w:r>
      <w:r w:rsidR="008C3673" w:rsidRPr="004132DB">
        <w:t>Fixed-effects panel regression models</w:t>
      </w:r>
      <w:bookmarkEnd w:id="58"/>
    </w:p>
    <w:p w14:paraId="3ADE4B17" w14:textId="746FAEE6" w:rsidR="008C3673" w:rsidRPr="004132DB" w:rsidRDefault="008C3673" w:rsidP="00095AB1">
      <w:pPr>
        <w:spacing w:after="120"/>
        <w:rPr>
          <w:szCs w:val="32"/>
        </w:rPr>
      </w:pPr>
      <w:r w:rsidRPr="004132DB">
        <w:rPr>
          <w:szCs w:val="32"/>
        </w:rPr>
        <w:t xml:space="preserve">The formal </w:t>
      </w:r>
      <w:r w:rsidRPr="004132DB">
        <w:rPr>
          <w:i/>
          <w:szCs w:val="32"/>
        </w:rPr>
        <w:t>ex-post</w:t>
      </w:r>
      <w:r w:rsidRPr="004132DB">
        <w:rPr>
          <w:szCs w:val="32"/>
        </w:rPr>
        <w:t xml:space="preserve"> load impact estimates </w:t>
      </w:r>
      <w:r w:rsidR="00266F40">
        <w:rPr>
          <w:szCs w:val="32"/>
        </w:rPr>
        <w:t>are</w:t>
      </w:r>
      <w:r w:rsidRPr="004132DB">
        <w:rPr>
          <w:szCs w:val="32"/>
        </w:rPr>
        <w:t xml:space="preserve"> based on </w:t>
      </w:r>
      <w:r w:rsidRPr="004132DB">
        <w:rPr>
          <w:i/>
          <w:szCs w:val="32"/>
        </w:rPr>
        <w:t>fixed-effects</w:t>
      </w:r>
      <w:r w:rsidRPr="004132DB">
        <w:rPr>
          <w:szCs w:val="32"/>
        </w:rPr>
        <w:t xml:space="preserve"> panel regression models. These models are appropriate in situations like the current study, in which observed data are available for both multiple individual customers (cross-section) and multiple days, or time periods (time-series). The advantages of estimating such models include: 1) accounting for the effect of relevant factors on the variation in usage across customers and days, 2) accounting for the effects of weather conditions on usage, and 3) </w:t>
      </w:r>
      <w:r w:rsidR="00266F40">
        <w:rPr>
          <w:szCs w:val="32"/>
        </w:rPr>
        <w:t xml:space="preserve">the availability </w:t>
      </w:r>
      <w:r w:rsidRPr="004132DB">
        <w:rPr>
          <w:szCs w:val="32"/>
        </w:rPr>
        <w:t xml:space="preserve">of standard errors around the estimated load impact coefficients, thus allowing construction of </w:t>
      </w:r>
      <w:r w:rsidRPr="004132DB">
        <w:rPr>
          <w:i/>
          <w:szCs w:val="32"/>
        </w:rPr>
        <w:t>confidence intervals</w:t>
      </w:r>
      <w:r w:rsidRPr="004132DB">
        <w:rPr>
          <w:szCs w:val="32"/>
        </w:rPr>
        <w:t xml:space="preserve">. </w:t>
      </w:r>
    </w:p>
    <w:p w14:paraId="3E83A362" w14:textId="77777777" w:rsidR="00874F4D" w:rsidRDefault="008C3673" w:rsidP="00095AB1">
      <w:pPr>
        <w:spacing w:after="120"/>
        <w:rPr>
          <w:szCs w:val="32"/>
        </w:rPr>
      </w:pPr>
      <w:r w:rsidRPr="004132DB">
        <w:rPr>
          <w:szCs w:val="32"/>
        </w:rPr>
        <w:t>We estimate</w:t>
      </w:r>
      <w:r w:rsidR="00266F40">
        <w:rPr>
          <w:szCs w:val="32"/>
        </w:rPr>
        <w:t>d</w:t>
      </w:r>
      <w:r w:rsidRPr="004132DB">
        <w:rPr>
          <w:szCs w:val="32"/>
        </w:rPr>
        <w:t xml:space="preserve"> two versions of fixed-effects models. The first version </w:t>
      </w:r>
      <w:r w:rsidR="00266F40">
        <w:rPr>
          <w:szCs w:val="32"/>
        </w:rPr>
        <w:t>wa</w:t>
      </w:r>
      <w:r w:rsidRPr="004132DB">
        <w:rPr>
          <w:szCs w:val="32"/>
        </w:rPr>
        <w:t xml:space="preserve">s used to estimate CPP event-day </w:t>
      </w:r>
      <w:r>
        <w:rPr>
          <w:szCs w:val="32"/>
        </w:rPr>
        <w:t xml:space="preserve">hourly </w:t>
      </w:r>
      <w:r w:rsidRPr="004132DB">
        <w:rPr>
          <w:szCs w:val="32"/>
        </w:rPr>
        <w:t>load impacts (for only TOU-DR-P customers)</w:t>
      </w:r>
      <w:r>
        <w:rPr>
          <w:szCs w:val="32"/>
        </w:rPr>
        <w:t>. T</w:t>
      </w:r>
      <w:r w:rsidRPr="004132DB">
        <w:rPr>
          <w:szCs w:val="32"/>
        </w:rPr>
        <w:t xml:space="preserve">he second version </w:t>
      </w:r>
      <w:r w:rsidR="00266F40">
        <w:rPr>
          <w:szCs w:val="32"/>
        </w:rPr>
        <w:t>wa</w:t>
      </w:r>
      <w:r w:rsidRPr="004132DB">
        <w:rPr>
          <w:szCs w:val="32"/>
        </w:rPr>
        <w:t xml:space="preserve">s used to estimate </w:t>
      </w:r>
      <w:r w:rsidR="00874F4D">
        <w:rPr>
          <w:szCs w:val="32"/>
        </w:rPr>
        <w:t xml:space="preserve">average weekday </w:t>
      </w:r>
      <w:r w:rsidRPr="004132DB">
        <w:rPr>
          <w:szCs w:val="32"/>
        </w:rPr>
        <w:t xml:space="preserve">TOU load impacts (estimated separately for the TOU-DR and TOU-DR-P customers). </w:t>
      </w:r>
    </w:p>
    <w:p w14:paraId="2297F839" w14:textId="1FCA4271" w:rsidR="008C3673" w:rsidRPr="004132DB" w:rsidRDefault="008C3673" w:rsidP="00095AB1">
      <w:pPr>
        <w:spacing w:after="120"/>
        <w:rPr>
          <w:szCs w:val="32"/>
        </w:rPr>
      </w:pPr>
      <w:r w:rsidRPr="004132DB">
        <w:rPr>
          <w:szCs w:val="32"/>
        </w:rPr>
        <w:t xml:space="preserve">In the first model, which addresses the objective of estimating hourly </w:t>
      </w:r>
      <w:r w:rsidRPr="004132DB">
        <w:rPr>
          <w:i/>
          <w:szCs w:val="32"/>
        </w:rPr>
        <w:t>ex-post</w:t>
      </w:r>
      <w:r w:rsidRPr="004132DB">
        <w:rPr>
          <w:szCs w:val="32"/>
        </w:rPr>
        <w:t xml:space="preserve"> load impacts at the program level, we estimate</w:t>
      </w:r>
      <w:r w:rsidR="00266F40">
        <w:rPr>
          <w:szCs w:val="32"/>
        </w:rPr>
        <w:t>d</w:t>
      </w:r>
      <w:r w:rsidRPr="004132DB">
        <w:rPr>
          <w:szCs w:val="32"/>
        </w:rPr>
        <w:t xml:space="preserve"> a set of twenty-four separate fixed-effects models, one for each hour of the day. These models allow customer-specific constant terms, but estimate the same coefficient, effectively representing an average load impact across the included treatment customers, for variables that do not vary across customers (</w:t>
      </w:r>
      <w:r w:rsidRPr="004132DB">
        <w:rPr>
          <w:i/>
          <w:szCs w:val="32"/>
        </w:rPr>
        <w:t>e.g.</w:t>
      </w:r>
      <w:r w:rsidRPr="004132DB">
        <w:rPr>
          <w:szCs w:val="32"/>
        </w:rPr>
        <w:t xml:space="preserve">, the occurrence of an event day). </w:t>
      </w:r>
    </w:p>
    <w:p w14:paraId="3B1A6445" w14:textId="7A70DF71" w:rsidR="008C3673" w:rsidRPr="00EF5592" w:rsidRDefault="00EF5592" w:rsidP="00095AB1">
      <w:pPr>
        <w:pStyle w:val="Heading3"/>
        <w:spacing w:after="120"/>
      </w:pPr>
      <w:bookmarkStart w:id="59" w:name="_Toc509576751"/>
      <w:r>
        <w:t xml:space="preserve">3.2.3 </w:t>
      </w:r>
      <w:r w:rsidRPr="00667B8C">
        <w:rPr>
          <w:i/>
        </w:rPr>
        <w:t>Ex-post</w:t>
      </w:r>
      <w:r w:rsidRPr="004132DB">
        <w:t xml:space="preserve"> </w:t>
      </w:r>
      <w:r>
        <w:t xml:space="preserve">models for </w:t>
      </w:r>
      <w:r w:rsidR="009143F7">
        <w:t xml:space="preserve">estimating </w:t>
      </w:r>
      <w:r>
        <w:t xml:space="preserve">CPP </w:t>
      </w:r>
      <w:r w:rsidR="009143F7">
        <w:t>load impacts</w:t>
      </w:r>
      <w:bookmarkEnd w:id="59"/>
      <w:r>
        <w:t xml:space="preserve"> </w:t>
      </w:r>
    </w:p>
    <w:p w14:paraId="7E85826E" w14:textId="0B789EA7" w:rsidR="008C3673" w:rsidRPr="004E0A46" w:rsidRDefault="008C3673" w:rsidP="00095AB1">
      <w:pPr>
        <w:spacing w:after="120"/>
      </w:pPr>
      <w:r w:rsidRPr="004E0A46">
        <w:t xml:space="preserve">The load impact estimation model </w:t>
      </w:r>
      <w:r>
        <w:t xml:space="preserve">for </w:t>
      </w:r>
      <w:r w:rsidR="005E5D58">
        <w:t>CPP</w:t>
      </w:r>
      <w:r>
        <w:t xml:space="preserve"> </w:t>
      </w:r>
      <w:r w:rsidRPr="004E0A46">
        <w:t xml:space="preserve">accounts for customer-specific and date-specific fixed effects (which include weather and day-type factors) and </w:t>
      </w:r>
      <w:r w:rsidR="00266F40">
        <w:t xml:space="preserve">effectively </w:t>
      </w:r>
      <w:r w:rsidRPr="004E0A46">
        <w:t xml:space="preserve">estimates the </w:t>
      </w:r>
      <w:r>
        <w:t xml:space="preserve">CPP </w:t>
      </w:r>
      <w:r w:rsidRPr="004E0A46">
        <w:t xml:space="preserve">load impact as the difference between </w:t>
      </w:r>
      <w:r>
        <w:t xml:space="preserve">CPP </w:t>
      </w:r>
      <w:r w:rsidRPr="004E0A46">
        <w:t>and control-group customer loads on event days, controlling for the aforementioned fixed effects. This can be described as a difference-in-differences estimate (the difference between treatment and control group usage on event days</w:t>
      </w:r>
      <w:r w:rsidR="00266F40">
        <w:t>, adjusted for differences on</w:t>
      </w:r>
      <w:r w:rsidRPr="004E0A46">
        <w:t xml:space="preserve"> non-event days). The primary customer-level fixed-effects regression model used in the analysis is shown below, where the equation is estimated separately for each of the 24 hours. This model produces load impact estimates for each hour of every event:</w:t>
      </w:r>
    </w:p>
    <w:p w14:paraId="39CD88B7" w14:textId="3DDC5B88" w:rsidR="008C3673" w:rsidRPr="004E0A46" w:rsidRDefault="001E35BB" w:rsidP="00237521">
      <w:pPr>
        <w:spacing w:before="240" w:after="240"/>
        <w:jc w:val="center"/>
      </w:pPr>
      <w:proofErr w:type="spellStart"/>
      <w:r w:rsidRPr="004E0A46">
        <w:rPr>
          <w:i/>
        </w:rPr>
        <w:t>kW</w:t>
      </w:r>
      <w:r w:rsidR="00405741">
        <w:rPr>
          <w:i/>
        </w:rPr>
        <w:t>h</w:t>
      </w:r>
      <w:r w:rsidRPr="004E0A46">
        <w:rPr>
          <w:vertAlign w:val="subscript"/>
        </w:rPr>
        <w:t>c,d</w:t>
      </w:r>
      <w:proofErr w:type="spellEnd"/>
      <w:r w:rsidRPr="004E0A46">
        <w:t xml:space="preserve"> = β</w:t>
      </w:r>
      <w:r w:rsidRPr="004E0A46">
        <w:rPr>
          <w:vertAlign w:val="subscript"/>
        </w:rPr>
        <w:t>0</w:t>
      </w:r>
      <w:r w:rsidRPr="004E0A46">
        <w:t xml:space="preserve"> + </w:t>
      </w:r>
      <w:proofErr w:type="spellStart"/>
      <w:r w:rsidRPr="004E0A46">
        <w:t>Σ</w:t>
      </w:r>
      <w:r w:rsidRPr="004E0A46">
        <w:rPr>
          <w:vertAlign w:val="subscript"/>
        </w:rPr>
        <w:t>Evts</w:t>
      </w:r>
      <w:proofErr w:type="spellEnd"/>
      <w:r w:rsidRPr="004E0A46">
        <w:rPr>
          <w:vertAlign w:val="subscript"/>
        </w:rPr>
        <w:t>(</w:t>
      </w:r>
      <w:proofErr w:type="spellStart"/>
      <w:r w:rsidRPr="004E0A46">
        <w:rPr>
          <w:vertAlign w:val="subscript"/>
        </w:rPr>
        <w:t>i</w:t>
      </w:r>
      <w:proofErr w:type="spellEnd"/>
      <w:r w:rsidRPr="004E0A46">
        <w:rPr>
          <w:vertAlign w:val="subscript"/>
        </w:rPr>
        <w:t>)</w:t>
      </w:r>
      <w:r w:rsidRPr="004E0A46">
        <w:t xml:space="preserve"> (β</w:t>
      </w:r>
      <w:r w:rsidRPr="004E0A46">
        <w:rPr>
          <w:vertAlign w:val="subscript"/>
        </w:rPr>
        <w:t>1,i</w:t>
      </w:r>
      <w:r w:rsidRPr="004E0A46">
        <w:t xml:space="preserve"> x </w:t>
      </w:r>
      <w:proofErr w:type="spellStart"/>
      <w:r>
        <w:rPr>
          <w:i/>
        </w:rPr>
        <w:t>CPP</w:t>
      </w:r>
      <w:r w:rsidRPr="004E0A46">
        <w:rPr>
          <w:vertAlign w:val="subscript"/>
        </w:rPr>
        <w:t>c,d</w:t>
      </w:r>
      <w:proofErr w:type="spellEnd"/>
      <w:r w:rsidRPr="004E0A46">
        <w:t xml:space="preserve"> x </w:t>
      </w:r>
      <w:proofErr w:type="spellStart"/>
      <w:r w:rsidRPr="004E0A46">
        <w:rPr>
          <w:i/>
        </w:rPr>
        <w:t>Evt</w:t>
      </w:r>
      <w:r w:rsidRPr="004E0A46">
        <w:rPr>
          <w:vertAlign w:val="subscript"/>
        </w:rPr>
        <w:t>i,d</w:t>
      </w:r>
      <w:proofErr w:type="spellEnd"/>
      <w:r w:rsidRPr="004E0A46">
        <w:t xml:space="preserve">) </w:t>
      </w:r>
      <w:r w:rsidR="00F449EA">
        <w:t>+</w:t>
      </w:r>
      <w:r w:rsidR="00F449EA" w:rsidRPr="00E75955">
        <w:t xml:space="preserve"> </w:t>
      </w:r>
      <w:r w:rsidR="00F449EA" w:rsidRPr="004E0A46">
        <w:t>β</w:t>
      </w:r>
      <w:r w:rsidR="00F449EA">
        <w:rPr>
          <w:vertAlign w:val="subscript"/>
        </w:rPr>
        <w:t>2</w:t>
      </w:r>
      <w:r w:rsidR="00F449EA" w:rsidRPr="004E0A46">
        <w:t xml:space="preserve"> x </w:t>
      </w:r>
      <w:proofErr w:type="spellStart"/>
      <w:r w:rsidR="00F449EA">
        <w:t>CPP</w:t>
      </w:r>
      <w:r w:rsidR="00F449EA" w:rsidRPr="004E0A46">
        <w:rPr>
          <w:vertAlign w:val="subscript"/>
        </w:rPr>
        <w:t>c,d</w:t>
      </w:r>
      <w:proofErr w:type="spellEnd"/>
      <w:r w:rsidR="00F449EA" w:rsidRPr="004E0A46">
        <w:t xml:space="preserve"> </w:t>
      </w:r>
      <w:r w:rsidR="00E75955">
        <w:t>+</w:t>
      </w:r>
      <w:r w:rsidR="00E75955" w:rsidRPr="00E75955">
        <w:t xml:space="preserve"> </w:t>
      </w:r>
      <w:r w:rsidR="00E75955" w:rsidRPr="004E0A46">
        <w:t xml:space="preserve"> </w:t>
      </w:r>
      <w:proofErr w:type="spellStart"/>
      <w:r w:rsidR="00E75955" w:rsidRPr="004E0A46">
        <w:t>Σ</w:t>
      </w:r>
      <w:r w:rsidR="00E75955" w:rsidRPr="004E0A46">
        <w:rPr>
          <w:vertAlign w:val="subscript"/>
        </w:rPr>
        <w:t>Cust</w:t>
      </w:r>
      <w:proofErr w:type="spellEnd"/>
      <w:r w:rsidR="00E75955" w:rsidRPr="004E0A46">
        <w:t xml:space="preserve"> (β</w:t>
      </w:r>
      <w:r w:rsidR="00F449EA">
        <w:rPr>
          <w:vertAlign w:val="subscript"/>
        </w:rPr>
        <w:t>3</w:t>
      </w:r>
      <w:r w:rsidR="00E75955" w:rsidRPr="004E0A46">
        <w:rPr>
          <w:vertAlign w:val="subscript"/>
        </w:rPr>
        <w:t>,Cust</w:t>
      </w:r>
      <w:r w:rsidR="00E75955" w:rsidRPr="004E0A46">
        <w:t xml:space="preserve"> x </w:t>
      </w:r>
      <w:r w:rsidR="00E75955" w:rsidRPr="004E0A46">
        <w:rPr>
          <w:i/>
        </w:rPr>
        <w:t>C</w:t>
      </w:r>
      <w:r w:rsidR="00E75955" w:rsidRPr="004E0A46">
        <w:rPr>
          <w:i/>
          <w:vertAlign w:val="subscript"/>
        </w:rPr>
        <w:t>c</w:t>
      </w:r>
      <w:r w:rsidR="00E75955" w:rsidRPr="004E0A46">
        <w:t xml:space="preserve">) </w:t>
      </w:r>
      <w:r>
        <w:br/>
      </w:r>
      <w:r w:rsidR="00E75955" w:rsidRPr="004E0A46">
        <w:t xml:space="preserve">+ </w:t>
      </w:r>
      <w:proofErr w:type="spellStart"/>
      <w:r w:rsidR="00E75955" w:rsidRPr="004E0A46">
        <w:t>Σ</w:t>
      </w:r>
      <w:r w:rsidR="00E75955" w:rsidRPr="004E0A46">
        <w:rPr>
          <w:vertAlign w:val="subscript"/>
        </w:rPr>
        <w:t>day</w:t>
      </w:r>
      <w:proofErr w:type="spellEnd"/>
      <w:r w:rsidR="00E75955" w:rsidRPr="004E0A46">
        <w:t xml:space="preserve"> (β</w:t>
      </w:r>
      <w:r w:rsidR="00F449EA">
        <w:rPr>
          <w:vertAlign w:val="subscript"/>
        </w:rPr>
        <w:t>4</w:t>
      </w:r>
      <w:r w:rsidR="00E75955" w:rsidRPr="004E0A46">
        <w:rPr>
          <w:vertAlign w:val="subscript"/>
        </w:rPr>
        <w:t>,day</w:t>
      </w:r>
      <w:r w:rsidR="00E75955" w:rsidRPr="004E0A46">
        <w:t xml:space="preserve"> x </w:t>
      </w:r>
      <w:proofErr w:type="spellStart"/>
      <w:r w:rsidR="00E75955" w:rsidRPr="004E0A46">
        <w:rPr>
          <w:i/>
        </w:rPr>
        <w:t>D</w:t>
      </w:r>
      <w:r w:rsidR="00E75955" w:rsidRPr="004E0A46">
        <w:rPr>
          <w:i/>
          <w:vertAlign w:val="subscript"/>
        </w:rPr>
        <w:t>day,d</w:t>
      </w:r>
      <w:proofErr w:type="spellEnd"/>
      <w:r w:rsidR="00E75955" w:rsidRPr="004E0A46">
        <w:t>)</w:t>
      </w:r>
      <w:r w:rsidR="00F449EA" w:rsidRPr="00F449EA">
        <w:rPr>
          <w:szCs w:val="32"/>
        </w:rPr>
        <w:t xml:space="preserve"> </w:t>
      </w:r>
      <w:r w:rsidR="00F449EA" w:rsidRPr="004132DB">
        <w:rPr>
          <w:szCs w:val="32"/>
        </w:rPr>
        <w:t>+</w:t>
      </w:r>
      <w:r w:rsidR="00F449EA" w:rsidRPr="00C403CC">
        <w:rPr>
          <w:szCs w:val="32"/>
        </w:rPr>
        <w:t xml:space="preserve"> </w:t>
      </w:r>
      <w:r w:rsidR="00F449EA" w:rsidRPr="004132DB">
        <w:rPr>
          <w:szCs w:val="32"/>
        </w:rPr>
        <w:t>β</w:t>
      </w:r>
      <w:r w:rsidR="00F449EA">
        <w:rPr>
          <w:szCs w:val="32"/>
          <w:vertAlign w:val="subscript"/>
        </w:rPr>
        <w:t>5</w:t>
      </w:r>
      <w:r w:rsidR="00F449EA" w:rsidRPr="004132DB">
        <w:rPr>
          <w:szCs w:val="32"/>
        </w:rPr>
        <w:t xml:space="preserve"> x </w:t>
      </w:r>
      <w:proofErr w:type="spellStart"/>
      <w:r w:rsidR="00F449EA">
        <w:rPr>
          <w:i/>
          <w:szCs w:val="32"/>
        </w:rPr>
        <w:t>SS_</w:t>
      </w:r>
      <w:r w:rsidR="00F449EA" w:rsidRPr="004132DB">
        <w:rPr>
          <w:i/>
          <w:szCs w:val="32"/>
        </w:rPr>
        <w:t>Evt</w:t>
      </w:r>
      <w:r w:rsidR="00F449EA" w:rsidRPr="004132DB">
        <w:rPr>
          <w:szCs w:val="32"/>
          <w:vertAlign w:val="subscript"/>
        </w:rPr>
        <w:t>c,d</w:t>
      </w:r>
      <w:proofErr w:type="spellEnd"/>
      <w:r w:rsidR="00F449EA" w:rsidRPr="004132DB">
        <w:rPr>
          <w:szCs w:val="32"/>
        </w:rPr>
        <w:t xml:space="preserve"> +</w:t>
      </w:r>
      <w:r w:rsidR="00F449EA" w:rsidRPr="00C403CC">
        <w:rPr>
          <w:szCs w:val="32"/>
        </w:rPr>
        <w:t xml:space="preserve"> </w:t>
      </w:r>
      <w:r w:rsidR="00F449EA" w:rsidRPr="004132DB">
        <w:rPr>
          <w:szCs w:val="32"/>
        </w:rPr>
        <w:t>β</w:t>
      </w:r>
      <w:r w:rsidR="00F449EA">
        <w:rPr>
          <w:szCs w:val="32"/>
          <w:vertAlign w:val="subscript"/>
        </w:rPr>
        <w:t>6</w:t>
      </w:r>
      <w:r w:rsidR="00F449EA" w:rsidRPr="004132DB">
        <w:rPr>
          <w:szCs w:val="32"/>
        </w:rPr>
        <w:t xml:space="preserve"> x </w:t>
      </w:r>
      <w:proofErr w:type="spellStart"/>
      <w:r w:rsidR="00F449EA">
        <w:rPr>
          <w:i/>
          <w:szCs w:val="32"/>
        </w:rPr>
        <w:t>SCTD_</w:t>
      </w:r>
      <w:r w:rsidR="00F449EA" w:rsidRPr="004132DB">
        <w:rPr>
          <w:i/>
          <w:szCs w:val="32"/>
        </w:rPr>
        <w:t>Evt</w:t>
      </w:r>
      <w:r w:rsidR="00F449EA" w:rsidRPr="004132DB">
        <w:rPr>
          <w:szCs w:val="32"/>
          <w:vertAlign w:val="subscript"/>
        </w:rPr>
        <w:t>c,d</w:t>
      </w:r>
      <w:proofErr w:type="spellEnd"/>
      <w:r w:rsidR="00F449EA" w:rsidRPr="004132DB">
        <w:rPr>
          <w:szCs w:val="32"/>
        </w:rPr>
        <w:t xml:space="preserve"> +</w:t>
      </w:r>
      <w:r w:rsidR="008C3673" w:rsidRPr="004E0A46">
        <w:t xml:space="preserve"> </w:t>
      </w:r>
      <w:proofErr w:type="spellStart"/>
      <w:r w:rsidRPr="004E0A46">
        <w:t>ε</w:t>
      </w:r>
      <w:r w:rsidRPr="004E0A46">
        <w:rPr>
          <w:vertAlign w:val="subscript"/>
        </w:rPr>
        <w:t>c,d</w:t>
      </w:r>
      <w:proofErr w:type="spellEnd"/>
    </w:p>
    <w:p w14:paraId="0859CED2" w14:textId="681A5B05" w:rsidR="008C3673" w:rsidRDefault="008C3673" w:rsidP="00095AB1">
      <w:pPr>
        <w:spacing w:after="120"/>
      </w:pPr>
      <w:r w:rsidRPr="004E0A46">
        <w:t xml:space="preserve">The variables and coefficients in the equation are described in </w:t>
      </w:r>
      <w:r w:rsidR="00CB04BA">
        <w:t>Table 3.1.</w:t>
      </w:r>
    </w:p>
    <w:p w14:paraId="751866E3" w14:textId="538F4BDC" w:rsidR="00CB04BA" w:rsidRPr="004E0A46" w:rsidRDefault="00CB04BA" w:rsidP="00237521">
      <w:pPr>
        <w:pStyle w:val="TableCaption"/>
        <w:keepNext/>
      </w:pPr>
      <w:bookmarkStart w:id="60" w:name="_Toc509576790"/>
      <w:r>
        <w:lastRenderedPageBreak/>
        <w:t>Table 3.1: Description of Variables Used in the CPP Analysis Regressions</w:t>
      </w:r>
      <w:bookmarkEnd w:id="60"/>
    </w:p>
    <w:tbl>
      <w:tblPr>
        <w:tblStyle w:val="TableGrid"/>
        <w:tblW w:w="0" w:type="auto"/>
        <w:tblLook w:val="04A0" w:firstRow="1" w:lastRow="0" w:firstColumn="1" w:lastColumn="0" w:noHBand="0" w:noVBand="1"/>
      </w:tblPr>
      <w:tblGrid>
        <w:gridCol w:w="1975"/>
        <w:gridCol w:w="6655"/>
      </w:tblGrid>
      <w:tr w:rsidR="008C3673" w:rsidRPr="004E0A46" w14:paraId="4BED1B07" w14:textId="77777777" w:rsidTr="0010027E">
        <w:tc>
          <w:tcPr>
            <w:tcW w:w="1975" w:type="dxa"/>
            <w:tcBorders>
              <w:right w:val="single" w:sz="4" w:space="0" w:color="FFFFFF" w:themeColor="background1"/>
            </w:tcBorders>
            <w:shd w:val="clear" w:color="auto" w:fill="0C2577"/>
          </w:tcPr>
          <w:p w14:paraId="1855952D" w14:textId="77777777" w:rsidR="008C3673" w:rsidRPr="006560EE" w:rsidRDefault="008C3673" w:rsidP="00095AB1">
            <w:pPr>
              <w:keepNext/>
              <w:spacing w:after="120"/>
              <w:jc w:val="center"/>
              <w:rPr>
                <w:b/>
              </w:rPr>
            </w:pPr>
            <w:r w:rsidRPr="006560EE">
              <w:rPr>
                <w:b/>
              </w:rPr>
              <w:t>Symbol</w:t>
            </w:r>
          </w:p>
        </w:tc>
        <w:tc>
          <w:tcPr>
            <w:tcW w:w="6655" w:type="dxa"/>
            <w:tcBorders>
              <w:left w:val="single" w:sz="4" w:space="0" w:color="FFFFFF" w:themeColor="background1"/>
            </w:tcBorders>
            <w:shd w:val="clear" w:color="auto" w:fill="0C2577"/>
          </w:tcPr>
          <w:p w14:paraId="2648A4F5" w14:textId="77777777" w:rsidR="008C3673" w:rsidRPr="006560EE" w:rsidRDefault="008C3673" w:rsidP="00095AB1">
            <w:pPr>
              <w:keepNext/>
              <w:spacing w:after="120"/>
              <w:jc w:val="center"/>
              <w:rPr>
                <w:b/>
              </w:rPr>
            </w:pPr>
            <w:r w:rsidRPr="006560EE">
              <w:rPr>
                <w:b/>
              </w:rPr>
              <w:t>Description</w:t>
            </w:r>
          </w:p>
        </w:tc>
      </w:tr>
      <w:tr w:rsidR="008C3673" w:rsidRPr="004E0A46" w14:paraId="6492A941" w14:textId="77777777" w:rsidTr="008B6E1E">
        <w:tc>
          <w:tcPr>
            <w:tcW w:w="1975" w:type="dxa"/>
          </w:tcPr>
          <w:p w14:paraId="6232B515" w14:textId="6073F84D" w:rsidR="008C3673" w:rsidRPr="004E0A46" w:rsidRDefault="008C3673" w:rsidP="00095AB1">
            <w:pPr>
              <w:keepNext/>
              <w:spacing w:after="120"/>
              <w:rPr>
                <w:sz w:val="22"/>
                <w:szCs w:val="22"/>
              </w:rPr>
            </w:pPr>
            <w:proofErr w:type="spellStart"/>
            <w:r w:rsidRPr="004E0A46">
              <w:rPr>
                <w:i/>
                <w:sz w:val="22"/>
                <w:szCs w:val="22"/>
              </w:rPr>
              <w:t>kW</w:t>
            </w:r>
            <w:r w:rsidR="00405741">
              <w:rPr>
                <w:i/>
                <w:sz w:val="22"/>
                <w:szCs w:val="22"/>
              </w:rPr>
              <w:t>h</w:t>
            </w:r>
            <w:r w:rsidRPr="004E0A46">
              <w:rPr>
                <w:sz w:val="22"/>
                <w:szCs w:val="22"/>
                <w:vertAlign w:val="subscript"/>
              </w:rPr>
              <w:t>c,d</w:t>
            </w:r>
            <w:proofErr w:type="spellEnd"/>
          </w:p>
        </w:tc>
        <w:tc>
          <w:tcPr>
            <w:tcW w:w="6655" w:type="dxa"/>
          </w:tcPr>
          <w:p w14:paraId="4E59C2CA" w14:textId="77777777" w:rsidR="008C3673" w:rsidRPr="004E0A46" w:rsidRDefault="008C3673" w:rsidP="00095AB1">
            <w:pPr>
              <w:keepNext/>
              <w:spacing w:after="120"/>
              <w:rPr>
                <w:sz w:val="22"/>
                <w:szCs w:val="22"/>
              </w:rPr>
            </w:pPr>
            <w:r w:rsidRPr="004E0A46">
              <w:rPr>
                <w:sz w:val="22"/>
                <w:szCs w:val="22"/>
              </w:rPr>
              <w:t xml:space="preserve">Load in a particular hour for customer </w:t>
            </w:r>
            <w:r w:rsidRPr="004E0A46">
              <w:rPr>
                <w:i/>
                <w:sz w:val="22"/>
                <w:szCs w:val="22"/>
              </w:rPr>
              <w:t>c</w:t>
            </w:r>
            <w:r w:rsidRPr="004E0A46">
              <w:rPr>
                <w:sz w:val="22"/>
                <w:szCs w:val="22"/>
              </w:rPr>
              <w:t xml:space="preserve"> on day </w:t>
            </w:r>
            <w:r w:rsidRPr="004E0A46">
              <w:rPr>
                <w:i/>
                <w:sz w:val="22"/>
                <w:szCs w:val="22"/>
              </w:rPr>
              <w:t>d</w:t>
            </w:r>
          </w:p>
        </w:tc>
      </w:tr>
      <w:tr w:rsidR="008C3673" w:rsidRPr="004E0A46" w14:paraId="0C84CD1C" w14:textId="77777777" w:rsidTr="008B6E1E">
        <w:tc>
          <w:tcPr>
            <w:tcW w:w="1975" w:type="dxa"/>
          </w:tcPr>
          <w:p w14:paraId="697415B3" w14:textId="77777777" w:rsidR="008C3673" w:rsidRPr="004E0A46" w:rsidRDefault="008C3673" w:rsidP="00095AB1">
            <w:pPr>
              <w:keepNext/>
              <w:spacing w:after="120"/>
              <w:rPr>
                <w:i/>
                <w:sz w:val="22"/>
                <w:szCs w:val="22"/>
              </w:rPr>
            </w:pPr>
            <w:proofErr w:type="spellStart"/>
            <w:r>
              <w:rPr>
                <w:i/>
                <w:sz w:val="22"/>
                <w:szCs w:val="22"/>
              </w:rPr>
              <w:t>CPP</w:t>
            </w:r>
            <w:r w:rsidRPr="004E0A46">
              <w:rPr>
                <w:i/>
                <w:sz w:val="22"/>
                <w:szCs w:val="22"/>
                <w:vertAlign w:val="subscript"/>
              </w:rPr>
              <w:t>c,d</w:t>
            </w:r>
            <w:proofErr w:type="spellEnd"/>
          </w:p>
        </w:tc>
        <w:tc>
          <w:tcPr>
            <w:tcW w:w="6655" w:type="dxa"/>
          </w:tcPr>
          <w:p w14:paraId="2571743B" w14:textId="61508F44" w:rsidR="008C3673" w:rsidRPr="004E0A46" w:rsidRDefault="008C3673" w:rsidP="00095AB1">
            <w:pPr>
              <w:keepNext/>
              <w:spacing w:after="120"/>
              <w:rPr>
                <w:sz w:val="22"/>
                <w:szCs w:val="22"/>
              </w:rPr>
            </w:pPr>
            <w:r w:rsidRPr="004E0A46">
              <w:rPr>
                <w:sz w:val="22"/>
                <w:szCs w:val="22"/>
              </w:rPr>
              <w:t xml:space="preserve">Variable indicating whether customer </w:t>
            </w:r>
            <w:r w:rsidRPr="004E0A46">
              <w:rPr>
                <w:i/>
                <w:sz w:val="22"/>
                <w:szCs w:val="22"/>
              </w:rPr>
              <w:t>c</w:t>
            </w:r>
            <w:r w:rsidRPr="004E0A46">
              <w:rPr>
                <w:sz w:val="22"/>
                <w:szCs w:val="22"/>
              </w:rPr>
              <w:t xml:space="preserve"> is a </w:t>
            </w:r>
            <w:r>
              <w:rPr>
                <w:sz w:val="22"/>
                <w:szCs w:val="22"/>
              </w:rPr>
              <w:t>CPP</w:t>
            </w:r>
            <w:r w:rsidRPr="004E0A46">
              <w:rPr>
                <w:sz w:val="22"/>
                <w:szCs w:val="22"/>
              </w:rPr>
              <w:t xml:space="preserve"> (1) or Control (0) customer</w:t>
            </w:r>
            <w:r w:rsidR="00F1188F">
              <w:rPr>
                <w:sz w:val="22"/>
                <w:szCs w:val="22"/>
              </w:rPr>
              <w:t xml:space="preserve"> on day </w:t>
            </w:r>
            <w:r w:rsidR="00F1188F">
              <w:rPr>
                <w:i/>
                <w:sz w:val="22"/>
                <w:szCs w:val="22"/>
              </w:rPr>
              <w:t>d</w:t>
            </w:r>
            <w:r w:rsidRPr="004E0A46">
              <w:rPr>
                <w:sz w:val="22"/>
                <w:szCs w:val="22"/>
              </w:rPr>
              <w:t xml:space="preserve"> </w:t>
            </w:r>
          </w:p>
        </w:tc>
      </w:tr>
      <w:tr w:rsidR="008C3673" w:rsidRPr="004E0A46" w14:paraId="0497EFDF" w14:textId="77777777" w:rsidTr="008B6E1E">
        <w:tc>
          <w:tcPr>
            <w:tcW w:w="1975" w:type="dxa"/>
          </w:tcPr>
          <w:p w14:paraId="5DBD5E32" w14:textId="77777777" w:rsidR="008C3673" w:rsidRPr="004E0A46" w:rsidRDefault="008C3673" w:rsidP="00095AB1">
            <w:pPr>
              <w:keepNext/>
              <w:spacing w:after="120"/>
              <w:rPr>
                <w:i/>
                <w:sz w:val="22"/>
                <w:szCs w:val="22"/>
              </w:rPr>
            </w:pPr>
            <w:proofErr w:type="spellStart"/>
            <w:r w:rsidRPr="004E0A46">
              <w:rPr>
                <w:i/>
                <w:sz w:val="22"/>
                <w:szCs w:val="22"/>
              </w:rPr>
              <w:t>Evt</w:t>
            </w:r>
            <w:r w:rsidRPr="004E0A46">
              <w:rPr>
                <w:i/>
                <w:sz w:val="22"/>
                <w:szCs w:val="22"/>
                <w:vertAlign w:val="subscript"/>
              </w:rPr>
              <w:t>i,d</w:t>
            </w:r>
            <w:proofErr w:type="spellEnd"/>
          </w:p>
        </w:tc>
        <w:tc>
          <w:tcPr>
            <w:tcW w:w="6655" w:type="dxa"/>
          </w:tcPr>
          <w:p w14:paraId="44D398C1" w14:textId="77777777" w:rsidR="008C3673" w:rsidRPr="004E0A46" w:rsidRDefault="008C3673" w:rsidP="00095AB1">
            <w:pPr>
              <w:keepNext/>
              <w:spacing w:after="120"/>
              <w:rPr>
                <w:sz w:val="22"/>
                <w:szCs w:val="22"/>
              </w:rPr>
            </w:pPr>
            <w:r w:rsidRPr="004E0A46">
              <w:rPr>
                <w:sz w:val="22"/>
                <w:szCs w:val="22"/>
              </w:rPr>
              <w:t xml:space="preserve">Variable indicating that day </w:t>
            </w:r>
            <w:r w:rsidRPr="004E0A46">
              <w:rPr>
                <w:i/>
                <w:sz w:val="22"/>
                <w:szCs w:val="22"/>
              </w:rPr>
              <w:t>d</w:t>
            </w:r>
            <w:r w:rsidRPr="004E0A46">
              <w:rPr>
                <w:sz w:val="22"/>
                <w:szCs w:val="22"/>
              </w:rPr>
              <w:t xml:space="preserve"> is the </w:t>
            </w:r>
            <w:proofErr w:type="spellStart"/>
            <w:r w:rsidRPr="004E0A46">
              <w:rPr>
                <w:i/>
                <w:sz w:val="22"/>
                <w:szCs w:val="22"/>
              </w:rPr>
              <w:t>i</w:t>
            </w:r>
            <w:r w:rsidRPr="004E0A46">
              <w:rPr>
                <w:sz w:val="22"/>
                <w:szCs w:val="22"/>
                <w:vertAlign w:val="superscript"/>
              </w:rPr>
              <w:t>th</w:t>
            </w:r>
            <w:proofErr w:type="spellEnd"/>
            <w:r w:rsidRPr="004E0A46">
              <w:rPr>
                <w:sz w:val="22"/>
                <w:szCs w:val="22"/>
              </w:rPr>
              <w:t xml:space="preserve"> event day (1=</w:t>
            </w:r>
            <w:proofErr w:type="spellStart"/>
            <w:r w:rsidRPr="004E0A46">
              <w:rPr>
                <w:i/>
                <w:sz w:val="22"/>
                <w:szCs w:val="22"/>
              </w:rPr>
              <w:t>i</w:t>
            </w:r>
            <w:r w:rsidRPr="004E0A46">
              <w:rPr>
                <w:sz w:val="22"/>
                <w:szCs w:val="22"/>
                <w:vertAlign w:val="superscript"/>
              </w:rPr>
              <w:t>th</w:t>
            </w:r>
            <w:proofErr w:type="spellEnd"/>
            <w:r w:rsidRPr="004E0A46">
              <w:rPr>
                <w:sz w:val="22"/>
                <w:szCs w:val="22"/>
              </w:rPr>
              <w:t xml:space="preserve"> event, 0 if not)</w:t>
            </w:r>
          </w:p>
        </w:tc>
      </w:tr>
      <w:tr w:rsidR="00E602C0" w:rsidRPr="004E0A46" w14:paraId="2932D19C" w14:textId="77777777" w:rsidTr="008B6E1E">
        <w:tc>
          <w:tcPr>
            <w:tcW w:w="1975" w:type="dxa"/>
          </w:tcPr>
          <w:p w14:paraId="689FFAF6" w14:textId="415920E8" w:rsidR="00E602C0" w:rsidRPr="004E0A46" w:rsidRDefault="00E602C0" w:rsidP="00095AB1">
            <w:pPr>
              <w:keepNext/>
              <w:spacing w:after="120"/>
              <w:rPr>
                <w:i/>
                <w:sz w:val="22"/>
                <w:szCs w:val="22"/>
              </w:rPr>
            </w:pPr>
            <w:proofErr w:type="spellStart"/>
            <w:r w:rsidRPr="00D62B15">
              <w:rPr>
                <w:i/>
              </w:rPr>
              <w:t>SCTD</w:t>
            </w:r>
            <w:r>
              <w:t>_</w:t>
            </w:r>
            <w:r w:rsidRPr="004E0A46">
              <w:rPr>
                <w:i/>
              </w:rPr>
              <w:t>Evt</w:t>
            </w:r>
            <w:r w:rsidR="00F449EA">
              <w:rPr>
                <w:vertAlign w:val="subscript"/>
              </w:rPr>
              <w:t>c,d</w:t>
            </w:r>
            <w:proofErr w:type="spellEnd"/>
          </w:p>
        </w:tc>
        <w:tc>
          <w:tcPr>
            <w:tcW w:w="6655" w:type="dxa"/>
          </w:tcPr>
          <w:p w14:paraId="5C6BA8AD" w14:textId="4BEC3C00" w:rsidR="00E602C0" w:rsidRPr="004E0A46" w:rsidRDefault="00F449EA" w:rsidP="00095AB1">
            <w:pPr>
              <w:keepNext/>
              <w:spacing w:after="120"/>
              <w:rPr>
                <w:sz w:val="22"/>
                <w:szCs w:val="22"/>
              </w:rPr>
            </w:pPr>
            <w:r w:rsidRPr="004E0A46">
              <w:rPr>
                <w:sz w:val="22"/>
                <w:szCs w:val="22"/>
              </w:rPr>
              <w:t xml:space="preserve">Variable indicating that day </w:t>
            </w:r>
            <w:r w:rsidRPr="004E0A46">
              <w:rPr>
                <w:i/>
                <w:sz w:val="22"/>
                <w:szCs w:val="22"/>
              </w:rPr>
              <w:t>d</w:t>
            </w:r>
            <w:r w:rsidRPr="004E0A46">
              <w:rPr>
                <w:sz w:val="22"/>
                <w:szCs w:val="22"/>
              </w:rPr>
              <w:t xml:space="preserve"> is </w:t>
            </w:r>
            <w:r>
              <w:rPr>
                <w:sz w:val="22"/>
                <w:szCs w:val="22"/>
              </w:rPr>
              <w:t xml:space="preserve">a </w:t>
            </w:r>
            <w:r w:rsidRPr="00D62B15">
              <w:rPr>
                <w:i/>
                <w:sz w:val="22"/>
                <w:szCs w:val="22"/>
              </w:rPr>
              <w:t>SCTD</w:t>
            </w:r>
            <w:r>
              <w:rPr>
                <w:sz w:val="22"/>
                <w:szCs w:val="22"/>
              </w:rPr>
              <w:t xml:space="preserve"> </w:t>
            </w:r>
            <w:r w:rsidRPr="004E0A46">
              <w:rPr>
                <w:sz w:val="22"/>
                <w:szCs w:val="22"/>
              </w:rPr>
              <w:t>event day (1</w:t>
            </w:r>
            <w:r>
              <w:rPr>
                <w:sz w:val="22"/>
                <w:szCs w:val="22"/>
              </w:rPr>
              <w:t>=</w:t>
            </w:r>
            <w:r w:rsidRPr="004E0A46">
              <w:rPr>
                <w:sz w:val="22"/>
                <w:szCs w:val="22"/>
              </w:rPr>
              <w:t xml:space="preserve"> event, 0 if not)</w:t>
            </w:r>
            <w:r>
              <w:rPr>
                <w:sz w:val="22"/>
                <w:szCs w:val="22"/>
              </w:rPr>
              <w:t xml:space="preserve"> for customer </w:t>
            </w:r>
            <w:r>
              <w:rPr>
                <w:i/>
                <w:sz w:val="22"/>
                <w:szCs w:val="22"/>
              </w:rPr>
              <w:t>c</w:t>
            </w:r>
          </w:p>
        </w:tc>
      </w:tr>
      <w:tr w:rsidR="00E602C0" w:rsidRPr="004E0A46" w14:paraId="5194AC76" w14:textId="77777777" w:rsidTr="008B6E1E">
        <w:tc>
          <w:tcPr>
            <w:tcW w:w="1975" w:type="dxa"/>
          </w:tcPr>
          <w:p w14:paraId="419A32C1" w14:textId="59BB3551" w:rsidR="00E602C0" w:rsidRPr="004E0A46" w:rsidRDefault="00E602C0" w:rsidP="00095AB1">
            <w:pPr>
              <w:keepNext/>
              <w:spacing w:after="120"/>
              <w:rPr>
                <w:i/>
                <w:sz w:val="22"/>
                <w:szCs w:val="22"/>
              </w:rPr>
            </w:pPr>
            <w:proofErr w:type="spellStart"/>
            <w:r w:rsidRPr="00D62B15">
              <w:rPr>
                <w:i/>
              </w:rPr>
              <w:t>SS_</w:t>
            </w:r>
            <w:r w:rsidRPr="004E0A46">
              <w:rPr>
                <w:i/>
              </w:rPr>
              <w:t>Evt</w:t>
            </w:r>
            <w:r w:rsidR="00F449EA">
              <w:rPr>
                <w:vertAlign w:val="subscript"/>
              </w:rPr>
              <w:t>c,d</w:t>
            </w:r>
            <w:proofErr w:type="spellEnd"/>
          </w:p>
        </w:tc>
        <w:tc>
          <w:tcPr>
            <w:tcW w:w="6655" w:type="dxa"/>
          </w:tcPr>
          <w:p w14:paraId="5399E28A" w14:textId="38FBA13F" w:rsidR="00E602C0" w:rsidRPr="00D62B15" w:rsidRDefault="00E602C0" w:rsidP="00095AB1">
            <w:pPr>
              <w:keepNext/>
              <w:spacing w:after="120"/>
              <w:rPr>
                <w:i/>
                <w:sz w:val="22"/>
                <w:szCs w:val="22"/>
              </w:rPr>
            </w:pPr>
            <w:r w:rsidRPr="004E0A46">
              <w:rPr>
                <w:sz w:val="22"/>
                <w:szCs w:val="22"/>
              </w:rPr>
              <w:t xml:space="preserve">Variable indicating that day </w:t>
            </w:r>
            <w:r w:rsidRPr="004E0A46">
              <w:rPr>
                <w:i/>
                <w:sz w:val="22"/>
                <w:szCs w:val="22"/>
              </w:rPr>
              <w:t>d</w:t>
            </w:r>
            <w:r w:rsidR="00F1188F">
              <w:rPr>
                <w:sz w:val="22"/>
                <w:szCs w:val="22"/>
              </w:rPr>
              <w:t xml:space="preserve"> is</w:t>
            </w:r>
            <w:r w:rsidRPr="004E0A46">
              <w:rPr>
                <w:sz w:val="22"/>
                <w:szCs w:val="22"/>
              </w:rPr>
              <w:t xml:space="preserve"> </w:t>
            </w:r>
            <w:r w:rsidR="00F1188F">
              <w:rPr>
                <w:i/>
                <w:sz w:val="22"/>
                <w:szCs w:val="22"/>
              </w:rPr>
              <w:t>a</w:t>
            </w:r>
            <w:r w:rsidRPr="004E0A46">
              <w:rPr>
                <w:sz w:val="22"/>
                <w:szCs w:val="22"/>
              </w:rPr>
              <w:t xml:space="preserve"> </w:t>
            </w:r>
            <w:r w:rsidRPr="00D62B15">
              <w:rPr>
                <w:i/>
                <w:sz w:val="22"/>
                <w:szCs w:val="22"/>
              </w:rPr>
              <w:t>Summer Saver</w:t>
            </w:r>
            <w:r>
              <w:rPr>
                <w:sz w:val="22"/>
                <w:szCs w:val="22"/>
              </w:rPr>
              <w:t xml:space="preserve"> </w:t>
            </w:r>
            <w:r w:rsidRPr="004E0A46">
              <w:rPr>
                <w:sz w:val="22"/>
                <w:szCs w:val="22"/>
              </w:rPr>
              <w:t>event day (1=event, 0 if not)</w:t>
            </w:r>
            <w:r w:rsidR="00F449EA">
              <w:rPr>
                <w:sz w:val="22"/>
                <w:szCs w:val="22"/>
              </w:rPr>
              <w:t xml:space="preserve"> for customer </w:t>
            </w:r>
            <w:r w:rsidR="00F449EA">
              <w:rPr>
                <w:i/>
                <w:sz w:val="22"/>
                <w:szCs w:val="22"/>
              </w:rPr>
              <w:t>c</w:t>
            </w:r>
          </w:p>
        </w:tc>
      </w:tr>
      <w:tr w:rsidR="00E602C0" w:rsidRPr="004E0A46" w14:paraId="7F9CEB3E" w14:textId="77777777" w:rsidTr="008B6E1E">
        <w:tc>
          <w:tcPr>
            <w:tcW w:w="1975" w:type="dxa"/>
          </w:tcPr>
          <w:p w14:paraId="53D9E3A0" w14:textId="77777777" w:rsidR="00E602C0" w:rsidRPr="004E0A46" w:rsidRDefault="00E602C0" w:rsidP="00095AB1">
            <w:pPr>
              <w:keepNext/>
              <w:spacing w:after="120"/>
              <w:rPr>
                <w:sz w:val="22"/>
                <w:szCs w:val="22"/>
              </w:rPr>
            </w:pPr>
            <w:r w:rsidRPr="004E0A46">
              <w:rPr>
                <w:sz w:val="22"/>
                <w:szCs w:val="22"/>
              </w:rPr>
              <w:t>β</w:t>
            </w:r>
            <w:r w:rsidRPr="004E0A46">
              <w:rPr>
                <w:sz w:val="22"/>
                <w:szCs w:val="22"/>
                <w:vertAlign w:val="subscript"/>
              </w:rPr>
              <w:t>0</w:t>
            </w:r>
          </w:p>
        </w:tc>
        <w:tc>
          <w:tcPr>
            <w:tcW w:w="6655" w:type="dxa"/>
          </w:tcPr>
          <w:p w14:paraId="68FE5201" w14:textId="77777777" w:rsidR="00E602C0" w:rsidRPr="004E0A46" w:rsidRDefault="00E602C0" w:rsidP="00095AB1">
            <w:pPr>
              <w:keepNext/>
              <w:spacing w:after="120"/>
              <w:rPr>
                <w:sz w:val="22"/>
                <w:szCs w:val="22"/>
              </w:rPr>
            </w:pPr>
            <w:r w:rsidRPr="004E0A46">
              <w:rPr>
                <w:sz w:val="22"/>
                <w:szCs w:val="22"/>
              </w:rPr>
              <w:t>Estimated constant coefficient</w:t>
            </w:r>
          </w:p>
        </w:tc>
      </w:tr>
      <w:tr w:rsidR="00E602C0" w:rsidRPr="004E0A46" w14:paraId="198AD7E9" w14:textId="77777777" w:rsidTr="008B6E1E">
        <w:tc>
          <w:tcPr>
            <w:tcW w:w="1975" w:type="dxa"/>
          </w:tcPr>
          <w:p w14:paraId="41F9A588" w14:textId="77777777" w:rsidR="00E602C0" w:rsidRPr="004E0A46" w:rsidRDefault="00E602C0" w:rsidP="00095AB1">
            <w:pPr>
              <w:keepNext/>
              <w:spacing w:after="120"/>
              <w:rPr>
                <w:sz w:val="22"/>
                <w:szCs w:val="22"/>
              </w:rPr>
            </w:pPr>
            <w:r w:rsidRPr="004E0A46">
              <w:rPr>
                <w:sz w:val="22"/>
                <w:szCs w:val="22"/>
              </w:rPr>
              <w:t>β</w:t>
            </w:r>
            <w:r w:rsidRPr="004E0A46">
              <w:rPr>
                <w:sz w:val="22"/>
                <w:szCs w:val="22"/>
                <w:vertAlign w:val="subscript"/>
              </w:rPr>
              <w:t xml:space="preserve"> 1,d</w:t>
            </w:r>
          </w:p>
        </w:tc>
        <w:tc>
          <w:tcPr>
            <w:tcW w:w="6655" w:type="dxa"/>
          </w:tcPr>
          <w:p w14:paraId="21501D90" w14:textId="77777777" w:rsidR="00E602C0" w:rsidRPr="004E0A46" w:rsidRDefault="00E602C0" w:rsidP="00095AB1">
            <w:pPr>
              <w:keepNext/>
              <w:spacing w:after="120"/>
              <w:rPr>
                <w:sz w:val="22"/>
                <w:szCs w:val="22"/>
              </w:rPr>
            </w:pPr>
            <w:r w:rsidRPr="004E0A46">
              <w:rPr>
                <w:sz w:val="22"/>
                <w:szCs w:val="22"/>
              </w:rPr>
              <w:t xml:space="preserve">Estimated load impact for event </w:t>
            </w:r>
            <w:r w:rsidRPr="004E0A46">
              <w:rPr>
                <w:i/>
                <w:sz w:val="22"/>
                <w:szCs w:val="22"/>
              </w:rPr>
              <w:t>d</w:t>
            </w:r>
          </w:p>
        </w:tc>
      </w:tr>
      <w:tr w:rsidR="00E602C0" w:rsidRPr="004E0A46" w14:paraId="24B61F32" w14:textId="77777777" w:rsidTr="008B6E1E">
        <w:tc>
          <w:tcPr>
            <w:tcW w:w="1975" w:type="dxa"/>
          </w:tcPr>
          <w:p w14:paraId="4EF27E92" w14:textId="50784D9F" w:rsidR="00E602C0" w:rsidRPr="004E0A46" w:rsidRDefault="00E602C0" w:rsidP="00095AB1">
            <w:pPr>
              <w:keepNext/>
              <w:spacing w:after="120"/>
              <w:rPr>
                <w:sz w:val="22"/>
                <w:szCs w:val="22"/>
              </w:rPr>
            </w:pPr>
            <w:r w:rsidRPr="004E0A46">
              <w:rPr>
                <w:sz w:val="22"/>
                <w:szCs w:val="22"/>
              </w:rPr>
              <w:t>β</w:t>
            </w:r>
            <w:r>
              <w:rPr>
                <w:sz w:val="22"/>
                <w:szCs w:val="22"/>
                <w:vertAlign w:val="subscript"/>
              </w:rPr>
              <w:t>2</w:t>
            </w:r>
          </w:p>
        </w:tc>
        <w:tc>
          <w:tcPr>
            <w:tcW w:w="6655" w:type="dxa"/>
          </w:tcPr>
          <w:p w14:paraId="47EE86CC" w14:textId="325E2303" w:rsidR="00E602C0" w:rsidRPr="004E0A46" w:rsidRDefault="00F1188F" w:rsidP="00095AB1">
            <w:pPr>
              <w:keepNext/>
              <w:spacing w:after="120"/>
              <w:rPr>
                <w:sz w:val="22"/>
                <w:szCs w:val="22"/>
              </w:rPr>
            </w:pPr>
            <w:r>
              <w:rPr>
                <w:sz w:val="22"/>
                <w:szCs w:val="22"/>
              </w:rPr>
              <w:t xml:space="preserve">Estimated </w:t>
            </w:r>
            <w:r w:rsidR="00AD46D4">
              <w:rPr>
                <w:sz w:val="22"/>
                <w:szCs w:val="22"/>
              </w:rPr>
              <w:t xml:space="preserve">non-event day </w:t>
            </w:r>
            <w:r>
              <w:rPr>
                <w:sz w:val="22"/>
                <w:szCs w:val="22"/>
              </w:rPr>
              <w:t xml:space="preserve">response </w:t>
            </w:r>
            <w:r w:rsidR="00375D59">
              <w:rPr>
                <w:sz w:val="22"/>
                <w:szCs w:val="22"/>
              </w:rPr>
              <w:t xml:space="preserve">for </w:t>
            </w:r>
            <w:r w:rsidR="00CB04BA">
              <w:rPr>
                <w:sz w:val="22"/>
                <w:szCs w:val="22"/>
              </w:rPr>
              <w:t xml:space="preserve">incremental </w:t>
            </w:r>
            <w:r w:rsidR="00375D59">
              <w:rPr>
                <w:sz w:val="22"/>
                <w:szCs w:val="22"/>
              </w:rPr>
              <w:t>CPP customers</w:t>
            </w:r>
          </w:p>
        </w:tc>
      </w:tr>
      <w:tr w:rsidR="00F1188F" w:rsidRPr="004E0A46" w14:paraId="10D0E2D0" w14:textId="77777777" w:rsidTr="008B6E1E">
        <w:tc>
          <w:tcPr>
            <w:tcW w:w="1975" w:type="dxa"/>
          </w:tcPr>
          <w:p w14:paraId="7E89BAC4" w14:textId="79E227E1" w:rsidR="00F1188F" w:rsidRPr="004E0A46" w:rsidRDefault="00F1188F" w:rsidP="00095AB1">
            <w:pPr>
              <w:keepNext/>
              <w:spacing w:after="120"/>
              <w:rPr>
                <w:sz w:val="22"/>
                <w:szCs w:val="22"/>
              </w:rPr>
            </w:pPr>
            <w:r w:rsidRPr="004E0A46">
              <w:rPr>
                <w:sz w:val="22"/>
                <w:szCs w:val="22"/>
              </w:rPr>
              <w:t>β</w:t>
            </w:r>
            <w:r w:rsidR="001E35BB">
              <w:rPr>
                <w:sz w:val="22"/>
                <w:szCs w:val="22"/>
                <w:vertAlign w:val="subscript"/>
              </w:rPr>
              <w:t>3</w:t>
            </w:r>
            <w:r w:rsidRPr="004E0A46">
              <w:rPr>
                <w:sz w:val="22"/>
                <w:szCs w:val="22"/>
                <w:vertAlign w:val="subscript"/>
              </w:rPr>
              <w:t xml:space="preserve">,Cust </w:t>
            </w:r>
            <w:r w:rsidRPr="004E0A46">
              <w:rPr>
                <w:sz w:val="22"/>
                <w:szCs w:val="22"/>
              </w:rPr>
              <w:t>and</w:t>
            </w:r>
            <w:r w:rsidRPr="004E0A46">
              <w:rPr>
                <w:sz w:val="22"/>
                <w:szCs w:val="22"/>
                <w:vertAlign w:val="subscript"/>
              </w:rPr>
              <w:t xml:space="preserve"> </w:t>
            </w:r>
            <w:r w:rsidRPr="004E0A46">
              <w:rPr>
                <w:sz w:val="22"/>
                <w:szCs w:val="22"/>
              </w:rPr>
              <w:t>β</w:t>
            </w:r>
            <w:r w:rsidR="001E35BB">
              <w:rPr>
                <w:sz w:val="22"/>
                <w:szCs w:val="22"/>
                <w:vertAlign w:val="subscript"/>
              </w:rPr>
              <w:t>4</w:t>
            </w:r>
            <w:r w:rsidRPr="004E0A46">
              <w:rPr>
                <w:sz w:val="22"/>
                <w:szCs w:val="22"/>
                <w:vertAlign w:val="subscript"/>
              </w:rPr>
              <w:t>,day</w:t>
            </w:r>
          </w:p>
        </w:tc>
        <w:tc>
          <w:tcPr>
            <w:tcW w:w="6655" w:type="dxa"/>
          </w:tcPr>
          <w:p w14:paraId="04CEE918" w14:textId="77777777" w:rsidR="00F1188F" w:rsidRPr="004E0A46" w:rsidRDefault="00F1188F" w:rsidP="00095AB1">
            <w:pPr>
              <w:keepNext/>
              <w:spacing w:after="120"/>
              <w:rPr>
                <w:sz w:val="22"/>
                <w:szCs w:val="22"/>
              </w:rPr>
            </w:pPr>
            <w:r w:rsidRPr="004E0A46">
              <w:rPr>
                <w:sz w:val="22"/>
                <w:szCs w:val="22"/>
              </w:rPr>
              <w:t>Customer and day fixed-effects</w:t>
            </w:r>
          </w:p>
        </w:tc>
      </w:tr>
      <w:tr w:rsidR="001E35BB" w:rsidRPr="004E0A46" w14:paraId="1ACB691D" w14:textId="77777777" w:rsidTr="008B6E1E">
        <w:tc>
          <w:tcPr>
            <w:tcW w:w="1975" w:type="dxa"/>
          </w:tcPr>
          <w:p w14:paraId="28699677" w14:textId="7E69F0C7" w:rsidR="001E35BB" w:rsidRPr="004E0A46" w:rsidRDefault="001E35BB" w:rsidP="00095AB1">
            <w:pPr>
              <w:keepNext/>
              <w:spacing w:after="120"/>
              <w:rPr>
                <w:sz w:val="22"/>
                <w:szCs w:val="22"/>
              </w:rPr>
            </w:pPr>
            <w:r w:rsidRPr="004E0A46">
              <w:rPr>
                <w:sz w:val="22"/>
                <w:szCs w:val="22"/>
              </w:rPr>
              <w:t>β</w:t>
            </w:r>
            <w:r>
              <w:rPr>
                <w:sz w:val="22"/>
                <w:szCs w:val="22"/>
                <w:vertAlign w:val="subscript"/>
              </w:rPr>
              <w:t xml:space="preserve"> 5</w:t>
            </w:r>
            <w:r w:rsidRPr="004E0A46">
              <w:rPr>
                <w:sz w:val="22"/>
                <w:szCs w:val="22"/>
                <w:vertAlign w:val="subscript"/>
              </w:rPr>
              <w:t>,d</w:t>
            </w:r>
          </w:p>
        </w:tc>
        <w:tc>
          <w:tcPr>
            <w:tcW w:w="6655" w:type="dxa"/>
          </w:tcPr>
          <w:p w14:paraId="75BE262C" w14:textId="38D60FB3" w:rsidR="001E35BB" w:rsidRPr="004E0A46" w:rsidRDefault="001E35BB" w:rsidP="00095AB1">
            <w:pPr>
              <w:keepNext/>
              <w:spacing w:after="120"/>
              <w:rPr>
                <w:sz w:val="22"/>
                <w:szCs w:val="22"/>
              </w:rPr>
            </w:pPr>
            <w:r w:rsidRPr="004E0A46">
              <w:rPr>
                <w:sz w:val="22"/>
                <w:szCs w:val="22"/>
              </w:rPr>
              <w:t>Estimated</w:t>
            </w:r>
            <w:r>
              <w:rPr>
                <w:sz w:val="22"/>
                <w:szCs w:val="22"/>
              </w:rPr>
              <w:t xml:space="preserve"> average </w:t>
            </w:r>
            <w:r w:rsidRPr="00D62B15">
              <w:rPr>
                <w:i/>
                <w:sz w:val="22"/>
                <w:szCs w:val="22"/>
              </w:rPr>
              <w:t>SCTD</w:t>
            </w:r>
            <w:r w:rsidRPr="004E0A46">
              <w:rPr>
                <w:sz w:val="22"/>
                <w:szCs w:val="22"/>
              </w:rPr>
              <w:t xml:space="preserve"> load impact for event </w:t>
            </w:r>
            <w:r w:rsidRPr="004E0A46">
              <w:rPr>
                <w:i/>
                <w:sz w:val="22"/>
                <w:szCs w:val="22"/>
              </w:rPr>
              <w:t>d</w:t>
            </w:r>
          </w:p>
        </w:tc>
      </w:tr>
      <w:tr w:rsidR="001E35BB" w:rsidRPr="004E0A46" w14:paraId="295DA0F9" w14:textId="77777777" w:rsidTr="008B6E1E">
        <w:tc>
          <w:tcPr>
            <w:tcW w:w="1975" w:type="dxa"/>
          </w:tcPr>
          <w:p w14:paraId="01A3C629" w14:textId="32B0C00B" w:rsidR="001E35BB" w:rsidRPr="004E0A46" w:rsidRDefault="001E35BB" w:rsidP="00095AB1">
            <w:pPr>
              <w:keepNext/>
              <w:spacing w:after="120"/>
              <w:rPr>
                <w:sz w:val="22"/>
                <w:szCs w:val="22"/>
              </w:rPr>
            </w:pPr>
            <w:r w:rsidRPr="004E0A46">
              <w:rPr>
                <w:sz w:val="22"/>
                <w:szCs w:val="22"/>
              </w:rPr>
              <w:t>β</w:t>
            </w:r>
            <w:r>
              <w:rPr>
                <w:sz w:val="22"/>
                <w:szCs w:val="22"/>
                <w:vertAlign w:val="subscript"/>
              </w:rPr>
              <w:t xml:space="preserve"> 6</w:t>
            </w:r>
            <w:r w:rsidRPr="004E0A46">
              <w:rPr>
                <w:sz w:val="22"/>
                <w:szCs w:val="22"/>
                <w:vertAlign w:val="subscript"/>
              </w:rPr>
              <w:t>,d</w:t>
            </w:r>
          </w:p>
        </w:tc>
        <w:tc>
          <w:tcPr>
            <w:tcW w:w="6655" w:type="dxa"/>
          </w:tcPr>
          <w:p w14:paraId="02F5C39A" w14:textId="258DB5C7" w:rsidR="001E35BB" w:rsidRPr="004E0A46" w:rsidRDefault="001E35BB" w:rsidP="00095AB1">
            <w:pPr>
              <w:keepNext/>
              <w:spacing w:after="120"/>
              <w:rPr>
                <w:sz w:val="22"/>
                <w:szCs w:val="22"/>
              </w:rPr>
            </w:pPr>
            <w:r w:rsidRPr="004E0A46">
              <w:rPr>
                <w:sz w:val="22"/>
                <w:szCs w:val="22"/>
              </w:rPr>
              <w:t>Estimated</w:t>
            </w:r>
            <w:r>
              <w:rPr>
                <w:sz w:val="22"/>
                <w:szCs w:val="22"/>
              </w:rPr>
              <w:t xml:space="preserve"> average </w:t>
            </w:r>
            <w:r w:rsidRPr="00D62B15">
              <w:rPr>
                <w:i/>
                <w:sz w:val="22"/>
                <w:szCs w:val="22"/>
              </w:rPr>
              <w:t>Summer Saver</w:t>
            </w:r>
            <w:r w:rsidRPr="004E0A46">
              <w:rPr>
                <w:sz w:val="22"/>
                <w:szCs w:val="22"/>
              </w:rPr>
              <w:t xml:space="preserve"> load impact for event </w:t>
            </w:r>
            <w:r w:rsidRPr="004E0A46">
              <w:rPr>
                <w:i/>
                <w:sz w:val="22"/>
                <w:szCs w:val="22"/>
              </w:rPr>
              <w:t>d</w:t>
            </w:r>
          </w:p>
        </w:tc>
      </w:tr>
      <w:tr w:rsidR="001E35BB" w:rsidRPr="004E0A46" w14:paraId="11AADAA6" w14:textId="77777777" w:rsidTr="008B6E1E">
        <w:tc>
          <w:tcPr>
            <w:tcW w:w="1975" w:type="dxa"/>
          </w:tcPr>
          <w:p w14:paraId="3899F5AB" w14:textId="77777777" w:rsidR="001E35BB" w:rsidRPr="004E0A46" w:rsidRDefault="001E35BB" w:rsidP="00095AB1">
            <w:pPr>
              <w:keepNext/>
              <w:spacing w:after="120"/>
              <w:rPr>
                <w:sz w:val="22"/>
                <w:szCs w:val="22"/>
              </w:rPr>
            </w:pPr>
            <w:r w:rsidRPr="004E0A46">
              <w:rPr>
                <w:i/>
                <w:sz w:val="22"/>
                <w:szCs w:val="22"/>
              </w:rPr>
              <w:t>C</w:t>
            </w:r>
            <w:r w:rsidRPr="004E0A46">
              <w:rPr>
                <w:i/>
                <w:sz w:val="22"/>
                <w:szCs w:val="22"/>
                <w:vertAlign w:val="subscript"/>
              </w:rPr>
              <w:t>c</w:t>
            </w:r>
          </w:p>
        </w:tc>
        <w:tc>
          <w:tcPr>
            <w:tcW w:w="6655" w:type="dxa"/>
          </w:tcPr>
          <w:p w14:paraId="05726C21" w14:textId="77777777" w:rsidR="001E35BB" w:rsidRPr="004E0A46" w:rsidRDefault="001E35BB" w:rsidP="00095AB1">
            <w:pPr>
              <w:keepNext/>
              <w:spacing w:after="120"/>
              <w:rPr>
                <w:sz w:val="22"/>
                <w:szCs w:val="22"/>
              </w:rPr>
            </w:pPr>
            <w:r w:rsidRPr="004E0A46">
              <w:rPr>
                <w:sz w:val="22"/>
                <w:szCs w:val="22"/>
              </w:rPr>
              <w:t xml:space="preserve">Variable indicating that the observation is for customer </w:t>
            </w:r>
            <w:r w:rsidRPr="004E0A46">
              <w:rPr>
                <w:i/>
                <w:sz w:val="22"/>
                <w:szCs w:val="22"/>
              </w:rPr>
              <w:t>c</w:t>
            </w:r>
          </w:p>
        </w:tc>
      </w:tr>
      <w:tr w:rsidR="001E35BB" w:rsidRPr="004E0A46" w14:paraId="6B9D1878" w14:textId="77777777" w:rsidTr="008B6E1E">
        <w:tc>
          <w:tcPr>
            <w:tcW w:w="1975" w:type="dxa"/>
          </w:tcPr>
          <w:p w14:paraId="6292CFAB" w14:textId="77777777" w:rsidR="001E35BB" w:rsidRPr="004E0A46" w:rsidRDefault="001E35BB" w:rsidP="00095AB1">
            <w:pPr>
              <w:keepNext/>
              <w:spacing w:after="120"/>
              <w:rPr>
                <w:sz w:val="22"/>
                <w:szCs w:val="22"/>
              </w:rPr>
            </w:pPr>
            <w:proofErr w:type="spellStart"/>
            <w:r w:rsidRPr="004E0A46">
              <w:rPr>
                <w:i/>
                <w:sz w:val="22"/>
                <w:szCs w:val="22"/>
              </w:rPr>
              <w:t>D</w:t>
            </w:r>
            <w:r w:rsidRPr="004E0A46">
              <w:rPr>
                <w:i/>
                <w:sz w:val="22"/>
                <w:szCs w:val="22"/>
                <w:vertAlign w:val="subscript"/>
              </w:rPr>
              <w:t>day,d</w:t>
            </w:r>
            <w:proofErr w:type="spellEnd"/>
          </w:p>
        </w:tc>
        <w:tc>
          <w:tcPr>
            <w:tcW w:w="6655" w:type="dxa"/>
          </w:tcPr>
          <w:p w14:paraId="3535CA42" w14:textId="77777777" w:rsidR="001E35BB" w:rsidRPr="004E0A46" w:rsidRDefault="001E35BB" w:rsidP="00095AB1">
            <w:pPr>
              <w:keepNext/>
              <w:spacing w:after="120"/>
              <w:rPr>
                <w:sz w:val="22"/>
                <w:szCs w:val="22"/>
              </w:rPr>
            </w:pPr>
            <w:r w:rsidRPr="004E0A46">
              <w:rPr>
                <w:sz w:val="22"/>
                <w:szCs w:val="22"/>
              </w:rPr>
              <w:t xml:space="preserve">Date indicator variable (1 = date </w:t>
            </w:r>
            <w:r w:rsidRPr="004E0A46">
              <w:rPr>
                <w:i/>
                <w:sz w:val="22"/>
                <w:szCs w:val="22"/>
              </w:rPr>
              <w:t>d</w:t>
            </w:r>
            <w:r w:rsidRPr="004E0A46">
              <w:rPr>
                <w:sz w:val="22"/>
                <w:szCs w:val="22"/>
              </w:rPr>
              <w:t xml:space="preserve"> equals date </w:t>
            </w:r>
            <w:r w:rsidRPr="004E0A46">
              <w:rPr>
                <w:i/>
                <w:sz w:val="22"/>
                <w:szCs w:val="22"/>
              </w:rPr>
              <w:t>day</w:t>
            </w:r>
            <w:r w:rsidRPr="004E0A46">
              <w:rPr>
                <w:sz w:val="22"/>
                <w:szCs w:val="22"/>
              </w:rPr>
              <w:t>)</w:t>
            </w:r>
          </w:p>
        </w:tc>
      </w:tr>
      <w:tr w:rsidR="001E35BB" w:rsidRPr="004E0A46" w14:paraId="73266ECF" w14:textId="77777777" w:rsidTr="008B6E1E">
        <w:tc>
          <w:tcPr>
            <w:tcW w:w="1975" w:type="dxa"/>
          </w:tcPr>
          <w:p w14:paraId="04C0B347" w14:textId="77777777" w:rsidR="001E35BB" w:rsidRPr="004E0A46" w:rsidRDefault="001E35BB" w:rsidP="00095AB1">
            <w:pPr>
              <w:keepNext/>
              <w:spacing w:after="120"/>
              <w:rPr>
                <w:sz w:val="22"/>
                <w:szCs w:val="22"/>
              </w:rPr>
            </w:pPr>
            <w:proofErr w:type="spellStart"/>
            <w:r w:rsidRPr="004E0A46">
              <w:rPr>
                <w:sz w:val="22"/>
                <w:szCs w:val="22"/>
              </w:rPr>
              <w:t>ε</w:t>
            </w:r>
            <w:r w:rsidRPr="004E0A46">
              <w:rPr>
                <w:sz w:val="22"/>
                <w:szCs w:val="22"/>
                <w:vertAlign w:val="subscript"/>
              </w:rPr>
              <w:t>c,d</w:t>
            </w:r>
            <w:proofErr w:type="spellEnd"/>
          </w:p>
        </w:tc>
        <w:tc>
          <w:tcPr>
            <w:tcW w:w="6655" w:type="dxa"/>
          </w:tcPr>
          <w:p w14:paraId="6FAA4BAF" w14:textId="77777777" w:rsidR="001E35BB" w:rsidRPr="004E0A46" w:rsidRDefault="001E35BB" w:rsidP="00095AB1">
            <w:pPr>
              <w:keepNext/>
              <w:spacing w:after="120"/>
              <w:rPr>
                <w:sz w:val="22"/>
                <w:szCs w:val="22"/>
              </w:rPr>
            </w:pPr>
            <w:r w:rsidRPr="004E0A46">
              <w:rPr>
                <w:sz w:val="22"/>
                <w:szCs w:val="22"/>
              </w:rPr>
              <w:t>Error term</w:t>
            </w:r>
          </w:p>
        </w:tc>
      </w:tr>
    </w:tbl>
    <w:p w14:paraId="5B1E087A" w14:textId="0E91D52B" w:rsidR="008C3673" w:rsidRPr="004E0A46" w:rsidRDefault="008C3673" w:rsidP="00095AB1">
      <w:pPr>
        <w:spacing w:after="120"/>
      </w:pPr>
    </w:p>
    <w:p w14:paraId="2A38182C" w14:textId="6092A64A" w:rsidR="008C3673" w:rsidRPr="00EF5592" w:rsidRDefault="00EF5592" w:rsidP="00095AB1">
      <w:pPr>
        <w:pStyle w:val="Heading3"/>
        <w:spacing w:after="120"/>
      </w:pPr>
      <w:bookmarkStart w:id="61" w:name="_Toc509576752"/>
      <w:r>
        <w:t xml:space="preserve">3.2.4 </w:t>
      </w:r>
      <w:r w:rsidRPr="00667B8C">
        <w:rPr>
          <w:i/>
        </w:rPr>
        <w:t>Ex-post</w:t>
      </w:r>
      <w:r w:rsidRPr="004132DB">
        <w:t xml:space="preserve"> </w:t>
      </w:r>
      <w:r>
        <w:t>models for TOU load impacts</w:t>
      </w:r>
      <w:bookmarkEnd w:id="61"/>
      <w:r>
        <w:t xml:space="preserve"> </w:t>
      </w:r>
    </w:p>
    <w:p w14:paraId="45042062" w14:textId="79EE032E" w:rsidR="008C3673" w:rsidRPr="004132DB" w:rsidRDefault="00EF5592" w:rsidP="00095AB1">
      <w:pPr>
        <w:spacing w:after="120"/>
        <w:rPr>
          <w:szCs w:val="32"/>
        </w:rPr>
      </w:pPr>
      <w:r>
        <w:rPr>
          <w:szCs w:val="32"/>
        </w:rPr>
        <w:t xml:space="preserve">To obtain </w:t>
      </w:r>
      <w:r w:rsidR="008C3673" w:rsidRPr="004132DB">
        <w:rPr>
          <w:szCs w:val="32"/>
        </w:rPr>
        <w:t xml:space="preserve">TOU load impacts (for both </w:t>
      </w:r>
      <w:r w:rsidR="00CB04BA" w:rsidRPr="004132DB">
        <w:rPr>
          <w:szCs w:val="32"/>
        </w:rPr>
        <w:t>TOU-DR and TOU-DR-P</w:t>
      </w:r>
      <w:r w:rsidR="00CB04BA" w:rsidRPr="004132DB" w:rsidDel="00CB04BA">
        <w:rPr>
          <w:szCs w:val="32"/>
        </w:rPr>
        <w:t xml:space="preserve"> </w:t>
      </w:r>
      <w:r w:rsidR="008C3673" w:rsidRPr="004132DB">
        <w:rPr>
          <w:szCs w:val="32"/>
        </w:rPr>
        <w:t xml:space="preserve">customers), we estimate a distinct model for each required result. For example, </w:t>
      </w:r>
      <w:r w:rsidRPr="004132DB">
        <w:rPr>
          <w:szCs w:val="32"/>
        </w:rPr>
        <w:t xml:space="preserve">to </w:t>
      </w:r>
      <w:r w:rsidR="00405741">
        <w:rPr>
          <w:szCs w:val="32"/>
        </w:rPr>
        <w:t>obtain</w:t>
      </w:r>
      <w:r w:rsidRPr="004132DB">
        <w:rPr>
          <w:szCs w:val="32"/>
        </w:rPr>
        <w:t xml:space="preserve"> the average TOU load impacts on August non-holiday weekdays</w:t>
      </w:r>
      <w:r>
        <w:rPr>
          <w:szCs w:val="32"/>
        </w:rPr>
        <w:t>,</w:t>
      </w:r>
      <w:r w:rsidRPr="004132DB">
        <w:rPr>
          <w:szCs w:val="32"/>
        </w:rPr>
        <w:t xml:space="preserve"> </w:t>
      </w:r>
      <w:r w:rsidR="008C3673" w:rsidRPr="004132DB">
        <w:rPr>
          <w:szCs w:val="32"/>
        </w:rPr>
        <w:t xml:space="preserve">we estimate a model </w:t>
      </w:r>
      <w:r w:rsidR="00A13F47">
        <w:rPr>
          <w:szCs w:val="32"/>
        </w:rPr>
        <w:t>that includes</w:t>
      </w:r>
      <w:r w:rsidR="008C3673" w:rsidRPr="004132DB">
        <w:rPr>
          <w:szCs w:val="32"/>
        </w:rPr>
        <w:t xml:space="preserve"> only </w:t>
      </w:r>
      <w:r>
        <w:rPr>
          <w:szCs w:val="32"/>
        </w:rPr>
        <w:t xml:space="preserve">days of that </w:t>
      </w:r>
      <w:r w:rsidR="00405741">
        <w:rPr>
          <w:szCs w:val="32"/>
        </w:rPr>
        <w:t>day-</w:t>
      </w:r>
      <w:r w:rsidR="008C3673" w:rsidRPr="004132DB">
        <w:rPr>
          <w:szCs w:val="32"/>
        </w:rPr>
        <w:t>type.</w:t>
      </w:r>
      <w:r>
        <w:rPr>
          <w:rStyle w:val="FootnoteReference"/>
          <w:szCs w:val="32"/>
        </w:rPr>
        <w:footnoteReference w:id="9"/>
      </w:r>
      <w:r w:rsidR="008C3673" w:rsidRPr="004132DB">
        <w:rPr>
          <w:szCs w:val="32"/>
        </w:rPr>
        <w:t xml:space="preserve"> In this case, we simplify the model to include customer and day fixed effects, plus a variable to estimate the load impact (</w:t>
      </w:r>
      <w:r w:rsidR="008C3673" w:rsidRPr="004132DB">
        <w:rPr>
          <w:i/>
          <w:szCs w:val="32"/>
        </w:rPr>
        <w:t>i.e.</w:t>
      </w:r>
      <w:r w:rsidR="008C3673" w:rsidRPr="004132DB">
        <w:rPr>
          <w:szCs w:val="32"/>
        </w:rPr>
        <w:t xml:space="preserve">, the coefficient </w:t>
      </w:r>
      <w:r w:rsidR="008C3673" w:rsidRPr="004132DB">
        <w:rPr>
          <w:i/>
          <w:sz w:val="22"/>
          <w:szCs w:val="22"/>
        </w:rPr>
        <w:t>β</w:t>
      </w:r>
      <w:r w:rsidR="008C3673" w:rsidRPr="004132DB">
        <w:rPr>
          <w:i/>
          <w:sz w:val="22"/>
          <w:szCs w:val="22"/>
          <w:vertAlign w:val="subscript"/>
        </w:rPr>
        <w:t xml:space="preserve"> 1</w:t>
      </w:r>
      <w:r w:rsidR="008C3673" w:rsidRPr="004132DB">
        <w:rPr>
          <w:szCs w:val="32"/>
        </w:rPr>
        <w:t>). Separate models ar</w:t>
      </w:r>
      <w:r w:rsidR="008C3673">
        <w:rPr>
          <w:szCs w:val="32"/>
        </w:rPr>
        <w:t>e estimated by hour, month, day-</w:t>
      </w:r>
      <w:r w:rsidR="008C3673" w:rsidRPr="004132DB">
        <w:rPr>
          <w:szCs w:val="32"/>
        </w:rPr>
        <w:t>type (</w:t>
      </w:r>
      <w:r w:rsidR="008C3673">
        <w:rPr>
          <w:i/>
          <w:szCs w:val="32"/>
        </w:rPr>
        <w:t>i.e.</w:t>
      </w:r>
      <w:r w:rsidR="008C3673">
        <w:rPr>
          <w:szCs w:val="32"/>
        </w:rPr>
        <w:t xml:space="preserve">, </w:t>
      </w:r>
      <w:r w:rsidR="008C3673" w:rsidRPr="004132DB">
        <w:rPr>
          <w:szCs w:val="32"/>
        </w:rPr>
        <w:t xml:space="preserve">average weekday versus peak </w:t>
      </w:r>
      <w:r w:rsidR="008C3673" w:rsidRPr="004132DB">
        <w:rPr>
          <w:szCs w:val="32"/>
        </w:rPr>
        <w:lastRenderedPageBreak/>
        <w:t>month day), applicable customer groups (</w:t>
      </w:r>
      <w:r w:rsidR="008C3673" w:rsidRPr="004132DB">
        <w:rPr>
          <w:i/>
          <w:szCs w:val="32"/>
        </w:rPr>
        <w:t>e.g.</w:t>
      </w:r>
      <w:r w:rsidR="008C3673" w:rsidRPr="004132DB">
        <w:rPr>
          <w:szCs w:val="32"/>
        </w:rPr>
        <w:t xml:space="preserve">, </w:t>
      </w:r>
      <w:r w:rsidR="008C3673">
        <w:rPr>
          <w:szCs w:val="32"/>
        </w:rPr>
        <w:t xml:space="preserve">climate zone and </w:t>
      </w:r>
      <w:r w:rsidR="008C3673" w:rsidRPr="004132DB">
        <w:rPr>
          <w:szCs w:val="32"/>
        </w:rPr>
        <w:t>CARE status), where the customer-level fixed-effects models are of the following form:</w:t>
      </w:r>
      <w:r w:rsidR="008C3673" w:rsidRPr="004132DB">
        <w:rPr>
          <w:szCs w:val="32"/>
          <w:vertAlign w:val="superscript"/>
        </w:rPr>
        <w:footnoteReference w:id="10"/>
      </w:r>
    </w:p>
    <w:p w14:paraId="5DC3AA97" w14:textId="684A9E8A" w:rsidR="00C403CC" w:rsidRPr="004132DB" w:rsidRDefault="00C403CC" w:rsidP="00237521">
      <w:pPr>
        <w:spacing w:before="240" w:after="240"/>
        <w:jc w:val="center"/>
        <w:rPr>
          <w:szCs w:val="32"/>
        </w:rPr>
      </w:pPr>
      <w:proofErr w:type="spellStart"/>
      <w:proofErr w:type="gramStart"/>
      <w:r w:rsidRPr="004132DB">
        <w:rPr>
          <w:i/>
          <w:szCs w:val="32"/>
        </w:rPr>
        <w:t>kW</w:t>
      </w:r>
      <w:r w:rsidRPr="004132DB">
        <w:rPr>
          <w:szCs w:val="32"/>
          <w:vertAlign w:val="subscript"/>
        </w:rPr>
        <w:t>c,d</w:t>
      </w:r>
      <w:proofErr w:type="spellEnd"/>
      <w:proofErr w:type="gramEnd"/>
      <w:r w:rsidRPr="004132DB">
        <w:rPr>
          <w:szCs w:val="32"/>
        </w:rPr>
        <w:t xml:space="preserve"> = β</w:t>
      </w:r>
      <w:r w:rsidRPr="004132DB">
        <w:rPr>
          <w:szCs w:val="32"/>
          <w:vertAlign w:val="subscript"/>
        </w:rPr>
        <w:t>0</w:t>
      </w:r>
      <w:r w:rsidRPr="004132DB">
        <w:rPr>
          <w:szCs w:val="32"/>
        </w:rPr>
        <w:t xml:space="preserve"> + β</w:t>
      </w:r>
      <w:r w:rsidRPr="004132DB">
        <w:rPr>
          <w:szCs w:val="32"/>
          <w:vertAlign w:val="subscript"/>
        </w:rPr>
        <w:t>1</w:t>
      </w:r>
      <w:r w:rsidRPr="004132DB">
        <w:rPr>
          <w:szCs w:val="32"/>
        </w:rPr>
        <w:t xml:space="preserve"> x (</w:t>
      </w:r>
      <w:proofErr w:type="spellStart"/>
      <w:r w:rsidRPr="004132DB">
        <w:rPr>
          <w:i/>
          <w:szCs w:val="32"/>
        </w:rPr>
        <w:t>TOU</w:t>
      </w:r>
      <w:r w:rsidRPr="004132DB">
        <w:rPr>
          <w:szCs w:val="32"/>
          <w:vertAlign w:val="subscript"/>
        </w:rPr>
        <w:t>c</w:t>
      </w:r>
      <w:proofErr w:type="spellEnd"/>
      <w:r w:rsidRPr="004132DB">
        <w:rPr>
          <w:szCs w:val="32"/>
        </w:rPr>
        <w:t xml:space="preserve"> x </w:t>
      </w:r>
      <w:proofErr w:type="spellStart"/>
      <w:r w:rsidRPr="004132DB">
        <w:rPr>
          <w:i/>
          <w:szCs w:val="32"/>
        </w:rPr>
        <w:t>Post</w:t>
      </w:r>
      <w:r w:rsidR="00B13B24" w:rsidRPr="00237521">
        <w:rPr>
          <w:i/>
          <w:szCs w:val="32"/>
          <w:vertAlign w:val="subscript"/>
        </w:rPr>
        <w:t>c</w:t>
      </w:r>
      <w:r w:rsidR="00B13B24">
        <w:rPr>
          <w:szCs w:val="32"/>
          <w:vertAlign w:val="subscript"/>
        </w:rPr>
        <w:t>,</w:t>
      </w:r>
      <w:r w:rsidRPr="004132DB">
        <w:rPr>
          <w:szCs w:val="32"/>
          <w:vertAlign w:val="subscript"/>
        </w:rPr>
        <w:t>d</w:t>
      </w:r>
      <w:proofErr w:type="spellEnd"/>
      <w:r w:rsidRPr="004132DB">
        <w:rPr>
          <w:szCs w:val="32"/>
        </w:rPr>
        <w:t xml:space="preserve">) + </w:t>
      </w:r>
      <w:proofErr w:type="spellStart"/>
      <w:r w:rsidRPr="004132DB">
        <w:rPr>
          <w:szCs w:val="32"/>
        </w:rPr>
        <w:t>Σ</w:t>
      </w:r>
      <w:r w:rsidRPr="004132DB">
        <w:rPr>
          <w:szCs w:val="32"/>
          <w:vertAlign w:val="subscript"/>
        </w:rPr>
        <w:t>Cust</w:t>
      </w:r>
      <w:proofErr w:type="spellEnd"/>
      <w:r w:rsidRPr="004132DB">
        <w:rPr>
          <w:szCs w:val="32"/>
        </w:rPr>
        <w:t xml:space="preserve"> (β</w:t>
      </w:r>
      <w:r w:rsidRPr="004132DB">
        <w:rPr>
          <w:szCs w:val="32"/>
          <w:vertAlign w:val="subscript"/>
        </w:rPr>
        <w:t>2,Cust</w:t>
      </w:r>
      <w:r w:rsidRPr="004132DB">
        <w:rPr>
          <w:szCs w:val="32"/>
        </w:rPr>
        <w:t xml:space="preserve"> x </w:t>
      </w:r>
      <w:r w:rsidRPr="004132DB">
        <w:rPr>
          <w:i/>
          <w:szCs w:val="32"/>
        </w:rPr>
        <w:t>C</w:t>
      </w:r>
      <w:r w:rsidRPr="004132DB">
        <w:rPr>
          <w:i/>
          <w:szCs w:val="32"/>
          <w:vertAlign w:val="subscript"/>
        </w:rPr>
        <w:t>c</w:t>
      </w:r>
      <w:r w:rsidRPr="004132DB">
        <w:rPr>
          <w:szCs w:val="32"/>
        </w:rPr>
        <w:t xml:space="preserve">) +  </w:t>
      </w:r>
      <w:proofErr w:type="spellStart"/>
      <w:r w:rsidRPr="004132DB">
        <w:rPr>
          <w:szCs w:val="32"/>
        </w:rPr>
        <w:t>Σ</w:t>
      </w:r>
      <w:r w:rsidRPr="004132DB">
        <w:rPr>
          <w:szCs w:val="32"/>
          <w:vertAlign w:val="subscript"/>
        </w:rPr>
        <w:t>days</w:t>
      </w:r>
      <w:proofErr w:type="spellEnd"/>
      <w:r w:rsidRPr="004132DB">
        <w:rPr>
          <w:szCs w:val="32"/>
        </w:rPr>
        <w:t xml:space="preserve"> (β</w:t>
      </w:r>
      <w:r w:rsidRPr="004132DB">
        <w:rPr>
          <w:szCs w:val="32"/>
          <w:vertAlign w:val="subscript"/>
        </w:rPr>
        <w:t>3,</w:t>
      </w:r>
      <w:r w:rsidRPr="004132DB">
        <w:rPr>
          <w:i/>
          <w:szCs w:val="32"/>
          <w:vertAlign w:val="subscript"/>
        </w:rPr>
        <w:t>day</w:t>
      </w:r>
      <w:r w:rsidRPr="004132DB">
        <w:rPr>
          <w:szCs w:val="32"/>
        </w:rPr>
        <w:t xml:space="preserve"> x </w:t>
      </w:r>
      <w:proofErr w:type="spellStart"/>
      <w:r w:rsidRPr="004132DB">
        <w:rPr>
          <w:i/>
          <w:szCs w:val="32"/>
        </w:rPr>
        <w:t>D</w:t>
      </w:r>
      <w:r w:rsidRPr="004132DB">
        <w:rPr>
          <w:i/>
          <w:szCs w:val="32"/>
          <w:vertAlign w:val="subscript"/>
        </w:rPr>
        <w:t>day</w:t>
      </w:r>
      <w:proofErr w:type="spellEnd"/>
      <w:r w:rsidRPr="004132DB">
        <w:rPr>
          <w:szCs w:val="32"/>
        </w:rPr>
        <w:t xml:space="preserve">) </w:t>
      </w:r>
      <w:r w:rsidR="001E35BB">
        <w:rPr>
          <w:szCs w:val="32"/>
        </w:rPr>
        <w:br/>
      </w:r>
      <w:r w:rsidR="00326430">
        <w:rPr>
          <w:szCs w:val="32"/>
        </w:rPr>
        <w:t xml:space="preserve"> </w:t>
      </w:r>
      <w:r w:rsidRPr="004132DB">
        <w:rPr>
          <w:szCs w:val="32"/>
        </w:rPr>
        <w:t>+ β</w:t>
      </w:r>
      <w:r w:rsidRPr="004132DB">
        <w:rPr>
          <w:szCs w:val="32"/>
          <w:vertAlign w:val="subscript"/>
        </w:rPr>
        <w:t>4</w:t>
      </w:r>
      <w:r w:rsidRPr="004132DB">
        <w:rPr>
          <w:szCs w:val="32"/>
        </w:rPr>
        <w:t xml:space="preserve"> x </w:t>
      </w:r>
      <w:proofErr w:type="spellStart"/>
      <w:r w:rsidRPr="004132DB">
        <w:rPr>
          <w:i/>
          <w:szCs w:val="32"/>
        </w:rPr>
        <w:t>Evt</w:t>
      </w:r>
      <w:r w:rsidRPr="004132DB">
        <w:rPr>
          <w:szCs w:val="32"/>
          <w:vertAlign w:val="subscript"/>
        </w:rPr>
        <w:t>c,d</w:t>
      </w:r>
      <w:proofErr w:type="spellEnd"/>
      <w:r w:rsidR="001E35BB">
        <w:rPr>
          <w:szCs w:val="32"/>
          <w:vertAlign w:val="subscript"/>
        </w:rPr>
        <w:t xml:space="preserve"> </w:t>
      </w:r>
      <w:r w:rsidRPr="004132DB">
        <w:rPr>
          <w:szCs w:val="32"/>
        </w:rPr>
        <w:t>+</w:t>
      </w:r>
      <w:r w:rsidRPr="00C403CC">
        <w:rPr>
          <w:szCs w:val="32"/>
        </w:rPr>
        <w:t xml:space="preserve"> </w:t>
      </w:r>
      <w:r w:rsidRPr="004132DB">
        <w:rPr>
          <w:szCs w:val="32"/>
        </w:rPr>
        <w:t>β</w:t>
      </w:r>
      <w:r>
        <w:rPr>
          <w:szCs w:val="32"/>
          <w:vertAlign w:val="subscript"/>
        </w:rPr>
        <w:t>5</w:t>
      </w:r>
      <w:r w:rsidRPr="004132DB">
        <w:rPr>
          <w:szCs w:val="32"/>
        </w:rPr>
        <w:t xml:space="preserve"> x </w:t>
      </w:r>
      <w:proofErr w:type="spellStart"/>
      <w:r>
        <w:rPr>
          <w:i/>
          <w:szCs w:val="32"/>
        </w:rPr>
        <w:t>SS_</w:t>
      </w:r>
      <w:r w:rsidRPr="004132DB">
        <w:rPr>
          <w:i/>
          <w:szCs w:val="32"/>
        </w:rPr>
        <w:t>Evt</w:t>
      </w:r>
      <w:r w:rsidRPr="004132DB">
        <w:rPr>
          <w:szCs w:val="32"/>
          <w:vertAlign w:val="subscript"/>
        </w:rPr>
        <w:t>c,d</w:t>
      </w:r>
      <w:proofErr w:type="spellEnd"/>
      <w:r w:rsidRPr="004132DB">
        <w:rPr>
          <w:szCs w:val="32"/>
        </w:rPr>
        <w:t xml:space="preserve"> +</w:t>
      </w:r>
      <w:r w:rsidRPr="00C403CC">
        <w:rPr>
          <w:szCs w:val="32"/>
        </w:rPr>
        <w:t xml:space="preserve"> </w:t>
      </w:r>
      <w:r w:rsidRPr="004132DB">
        <w:rPr>
          <w:szCs w:val="32"/>
        </w:rPr>
        <w:t>β</w:t>
      </w:r>
      <w:r>
        <w:rPr>
          <w:szCs w:val="32"/>
          <w:vertAlign w:val="subscript"/>
        </w:rPr>
        <w:t>6</w:t>
      </w:r>
      <w:r w:rsidRPr="004132DB">
        <w:rPr>
          <w:szCs w:val="32"/>
        </w:rPr>
        <w:t xml:space="preserve"> x </w:t>
      </w:r>
      <w:proofErr w:type="spellStart"/>
      <w:r>
        <w:rPr>
          <w:i/>
          <w:szCs w:val="32"/>
        </w:rPr>
        <w:t>SCTD_</w:t>
      </w:r>
      <w:r w:rsidRPr="004132DB">
        <w:rPr>
          <w:i/>
          <w:szCs w:val="32"/>
        </w:rPr>
        <w:t>Evt</w:t>
      </w:r>
      <w:r w:rsidRPr="004132DB">
        <w:rPr>
          <w:szCs w:val="32"/>
          <w:vertAlign w:val="subscript"/>
        </w:rPr>
        <w:t>c,d</w:t>
      </w:r>
      <w:proofErr w:type="spellEnd"/>
      <w:r w:rsidRPr="004132DB">
        <w:rPr>
          <w:szCs w:val="32"/>
        </w:rPr>
        <w:t xml:space="preserve"> + </w:t>
      </w:r>
      <w:proofErr w:type="spellStart"/>
      <w:r w:rsidRPr="004132DB">
        <w:rPr>
          <w:szCs w:val="32"/>
        </w:rPr>
        <w:t>ε</w:t>
      </w:r>
      <w:r w:rsidRPr="004132DB">
        <w:rPr>
          <w:szCs w:val="32"/>
          <w:vertAlign w:val="subscript"/>
        </w:rPr>
        <w:t>c,d</w:t>
      </w:r>
      <w:proofErr w:type="spellEnd"/>
    </w:p>
    <w:p w14:paraId="4E445877" w14:textId="719B4B81" w:rsidR="008C3673" w:rsidRDefault="008C3673" w:rsidP="00095AB1">
      <w:pPr>
        <w:spacing w:after="120"/>
        <w:rPr>
          <w:szCs w:val="32"/>
        </w:rPr>
      </w:pPr>
      <w:r w:rsidRPr="004132DB">
        <w:rPr>
          <w:szCs w:val="32"/>
        </w:rPr>
        <w:t xml:space="preserve">The variables and coefficients in the equation are described in </w:t>
      </w:r>
      <w:r w:rsidR="00CB04BA">
        <w:rPr>
          <w:szCs w:val="32"/>
        </w:rPr>
        <w:t>Table 3.2.</w:t>
      </w:r>
      <w:r w:rsidR="005E1B3E">
        <w:rPr>
          <w:szCs w:val="32"/>
        </w:rPr>
        <w:t xml:space="preserve"> Incremental customers are used to estimate </w:t>
      </w:r>
      <w:r w:rsidR="00087A4D">
        <w:rPr>
          <w:szCs w:val="32"/>
        </w:rPr>
        <w:t xml:space="preserve">the TOU load impacts in </w:t>
      </w:r>
      <w:r w:rsidR="005E1B3E">
        <w:rPr>
          <w:szCs w:val="32"/>
        </w:rPr>
        <w:t>each regression</w:t>
      </w:r>
      <w:r w:rsidR="00087A4D">
        <w:rPr>
          <w:szCs w:val="32"/>
        </w:rPr>
        <w:t>. R</w:t>
      </w:r>
      <w:r w:rsidR="005E1B3E">
        <w:rPr>
          <w:szCs w:val="32"/>
        </w:rPr>
        <w:t xml:space="preserve">esults are </w:t>
      </w:r>
      <w:r w:rsidR="00087A4D">
        <w:rPr>
          <w:szCs w:val="32"/>
        </w:rPr>
        <w:t>then scaled</w:t>
      </w:r>
      <w:r w:rsidR="005E1B3E">
        <w:rPr>
          <w:szCs w:val="32"/>
        </w:rPr>
        <w:t xml:space="preserve"> to the program level of enrollments.</w:t>
      </w:r>
    </w:p>
    <w:p w14:paraId="3DC21BFC" w14:textId="0638099C" w:rsidR="00CB04BA" w:rsidRPr="004132DB" w:rsidRDefault="00CB04BA" w:rsidP="00237521">
      <w:pPr>
        <w:pStyle w:val="TableCaption"/>
      </w:pPr>
      <w:bookmarkStart w:id="62" w:name="_Toc509576791"/>
      <w:r>
        <w:t>Table 3.2: Description of Variables Used in the TOU Analysis Regressions</w:t>
      </w:r>
      <w:bookmarkEnd w:id="62"/>
    </w:p>
    <w:tbl>
      <w:tblPr>
        <w:tblStyle w:val="TableGrid"/>
        <w:tblW w:w="0" w:type="auto"/>
        <w:tblLook w:val="04A0" w:firstRow="1" w:lastRow="0" w:firstColumn="1" w:lastColumn="0" w:noHBand="0" w:noVBand="1"/>
      </w:tblPr>
      <w:tblGrid>
        <w:gridCol w:w="1975"/>
        <w:gridCol w:w="6655"/>
      </w:tblGrid>
      <w:tr w:rsidR="008C3673" w:rsidRPr="004132DB" w14:paraId="7294FF98" w14:textId="77777777" w:rsidTr="0010027E">
        <w:tc>
          <w:tcPr>
            <w:tcW w:w="1975" w:type="dxa"/>
            <w:tcBorders>
              <w:right w:val="single" w:sz="4" w:space="0" w:color="FFFFFF" w:themeColor="background1"/>
            </w:tcBorders>
            <w:shd w:val="clear" w:color="auto" w:fill="0C2577"/>
          </w:tcPr>
          <w:p w14:paraId="159EFA64" w14:textId="77777777" w:rsidR="008C3673" w:rsidRPr="00BD648A" w:rsidRDefault="008C3673" w:rsidP="00095AB1">
            <w:pPr>
              <w:keepNext/>
              <w:spacing w:after="120"/>
              <w:jc w:val="center"/>
              <w:rPr>
                <w:b/>
                <w:szCs w:val="32"/>
              </w:rPr>
            </w:pPr>
            <w:r w:rsidRPr="00BD648A">
              <w:rPr>
                <w:b/>
                <w:szCs w:val="32"/>
              </w:rPr>
              <w:t>Symbol</w:t>
            </w:r>
          </w:p>
        </w:tc>
        <w:tc>
          <w:tcPr>
            <w:tcW w:w="6655" w:type="dxa"/>
            <w:tcBorders>
              <w:left w:val="single" w:sz="4" w:space="0" w:color="FFFFFF" w:themeColor="background1"/>
            </w:tcBorders>
            <w:shd w:val="clear" w:color="auto" w:fill="0C2577"/>
          </w:tcPr>
          <w:p w14:paraId="0EF89C68" w14:textId="77777777" w:rsidR="008C3673" w:rsidRPr="00BD648A" w:rsidRDefault="008C3673" w:rsidP="00095AB1">
            <w:pPr>
              <w:keepNext/>
              <w:spacing w:after="120"/>
              <w:jc w:val="center"/>
              <w:rPr>
                <w:b/>
                <w:szCs w:val="32"/>
              </w:rPr>
            </w:pPr>
            <w:r w:rsidRPr="00BD648A">
              <w:rPr>
                <w:b/>
                <w:szCs w:val="32"/>
              </w:rPr>
              <w:t>Description</w:t>
            </w:r>
          </w:p>
        </w:tc>
      </w:tr>
      <w:tr w:rsidR="008C3673" w:rsidRPr="004132DB" w14:paraId="773AD1DE" w14:textId="77777777" w:rsidTr="008B6E1E">
        <w:tc>
          <w:tcPr>
            <w:tcW w:w="1975" w:type="dxa"/>
          </w:tcPr>
          <w:p w14:paraId="591E64CD" w14:textId="77777777" w:rsidR="008C3673" w:rsidRPr="004132DB" w:rsidRDefault="008C3673" w:rsidP="00095AB1">
            <w:pPr>
              <w:keepNext/>
              <w:spacing w:after="120"/>
              <w:rPr>
                <w:sz w:val="22"/>
                <w:szCs w:val="22"/>
              </w:rPr>
            </w:pPr>
            <w:proofErr w:type="spellStart"/>
            <w:r w:rsidRPr="004132DB">
              <w:rPr>
                <w:i/>
                <w:sz w:val="22"/>
                <w:szCs w:val="22"/>
              </w:rPr>
              <w:t>kW</w:t>
            </w:r>
            <w:r w:rsidRPr="004132DB">
              <w:rPr>
                <w:sz w:val="22"/>
                <w:szCs w:val="22"/>
                <w:vertAlign w:val="subscript"/>
              </w:rPr>
              <w:t>c,d</w:t>
            </w:r>
            <w:proofErr w:type="spellEnd"/>
          </w:p>
        </w:tc>
        <w:tc>
          <w:tcPr>
            <w:tcW w:w="6655" w:type="dxa"/>
          </w:tcPr>
          <w:p w14:paraId="7E0DEC9A" w14:textId="77777777" w:rsidR="008C3673" w:rsidRPr="004132DB" w:rsidRDefault="008C3673" w:rsidP="00095AB1">
            <w:pPr>
              <w:keepNext/>
              <w:spacing w:after="120"/>
              <w:rPr>
                <w:sz w:val="22"/>
                <w:szCs w:val="22"/>
              </w:rPr>
            </w:pPr>
            <w:r w:rsidRPr="004132DB">
              <w:rPr>
                <w:sz w:val="22"/>
                <w:szCs w:val="22"/>
              </w:rPr>
              <w:t xml:space="preserve">Load in a particular hour for customer </w:t>
            </w:r>
            <w:r w:rsidRPr="004132DB">
              <w:rPr>
                <w:i/>
                <w:sz w:val="22"/>
                <w:szCs w:val="22"/>
              </w:rPr>
              <w:t>c</w:t>
            </w:r>
            <w:r w:rsidRPr="004132DB">
              <w:rPr>
                <w:sz w:val="22"/>
                <w:szCs w:val="22"/>
              </w:rPr>
              <w:t xml:space="preserve"> on day </w:t>
            </w:r>
            <w:r w:rsidRPr="004132DB">
              <w:rPr>
                <w:i/>
                <w:sz w:val="22"/>
                <w:szCs w:val="22"/>
              </w:rPr>
              <w:t>d</w:t>
            </w:r>
          </w:p>
        </w:tc>
      </w:tr>
      <w:tr w:rsidR="008C3673" w:rsidRPr="004132DB" w14:paraId="1CADE4A9" w14:textId="77777777" w:rsidTr="008B6E1E">
        <w:tc>
          <w:tcPr>
            <w:tcW w:w="1975" w:type="dxa"/>
          </w:tcPr>
          <w:p w14:paraId="269230A7" w14:textId="77777777" w:rsidR="008C3673" w:rsidRPr="004132DB" w:rsidRDefault="008C3673" w:rsidP="00095AB1">
            <w:pPr>
              <w:keepNext/>
              <w:spacing w:after="120"/>
              <w:rPr>
                <w:sz w:val="22"/>
                <w:szCs w:val="22"/>
              </w:rPr>
            </w:pPr>
            <w:proofErr w:type="spellStart"/>
            <w:r w:rsidRPr="004132DB">
              <w:rPr>
                <w:i/>
                <w:sz w:val="22"/>
                <w:szCs w:val="22"/>
              </w:rPr>
              <w:t>TOU</w:t>
            </w:r>
            <w:r w:rsidRPr="004132DB">
              <w:rPr>
                <w:i/>
                <w:sz w:val="22"/>
                <w:szCs w:val="22"/>
                <w:vertAlign w:val="subscript"/>
              </w:rPr>
              <w:t>c</w:t>
            </w:r>
            <w:proofErr w:type="spellEnd"/>
          </w:p>
        </w:tc>
        <w:tc>
          <w:tcPr>
            <w:tcW w:w="6655" w:type="dxa"/>
          </w:tcPr>
          <w:p w14:paraId="51614C03" w14:textId="0108BF44" w:rsidR="008C3673" w:rsidRPr="004132DB" w:rsidRDefault="008C3673" w:rsidP="00095AB1">
            <w:pPr>
              <w:keepNext/>
              <w:spacing w:after="120"/>
              <w:rPr>
                <w:sz w:val="22"/>
                <w:szCs w:val="22"/>
              </w:rPr>
            </w:pPr>
            <w:r w:rsidRPr="004132DB">
              <w:rPr>
                <w:sz w:val="22"/>
                <w:szCs w:val="22"/>
              </w:rPr>
              <w:t xml:space="preserve">Variable indicating whether customer </w:t>
            </w:r>
            <w:r w:rsidRPr="004132DB">
              <w:rPr>
                <w:i/>
                <w:sz w:val="22"/>
                <w:szCs w:val="22"/>
              </w:rPr>
              <w:t>c</w:t>
            </w:r>
            <w:r w:rsidRPr="004132DB">
              <w:rPr>
                <w:sz w:val="22"/>
                <w:szCs w:val="22"/>
              </w:rPr>
              <w:t xml:space="preserve"> is a </w:t>
            </w:r>
            <w:r w:rsidR="003D2210">
              <w:rPr>
                <w:sz w:val="22"/>
                <w:szCs w:val="22"/>
              </w:rPr>
              <w:t xml:space="preserve">TOU or </w:t>
            </w:r>
            <w:r w:rsidR="005E5D58">
              <w:rPr>
                <w:sz w:val="22"/>
                <w:szCs w:val="22"/>
              </w:rPr>
              <w:t>CPP</w:t>
            </w:r>
            <w:r w:rsidRPr="004132DB">
              <w:rPr>
                <w:sz w:val="22"/>
                <w:szCs w:val="22"/>
              </w:rPr>
              <w:t xml:space="preserve"> (1) or Control (0) customer </w:t>
            </w:r>
          </w:p>
        </w:tc>
      </w:tr>
      <w:tr w:rsidR="008C3673" w:rsidRPr="004132DB" w14:paraId="2BB8DCB1" w14:textId="77777777" w:rsidTr="008B6E1E">
        <w:tc>
          <w:tcPr>
            <w:tcW w:w="1975" w:type="dxa"/>
          </w:tcPr>
          <w:p w14:paraId="5629EB81" w14:textId="77777777" w:rsidR="008C3673" w:rsidRPr="004132DB" w:rsidRDefault="008C3673" w:rsidP="00095AB1">
            <w:pPr>
              <w:keepNext/>
              <w:spacing w:after="120"/>
              <w:rPr>
                <w:i/>
                <w:sz w:val="22"/>
                <w:szCs w:val="22"/>
              </w:rPr>
            </w:pPr>
            <w:proofErr w:type="spellStart"/>
            <w:r w:rsidRPr="004132DB">
              <w:rPr>
                <w:i/>
                <w:sz w:val="22"/>
                <w:szCs w:val="22"/>
              </w:rPr>
              <w:t>Evt</w:t>
            </w:r>
            <w:r w:rsidRPr="004132DB">
              <w:rPr>
                <w:i/>
                <w:sz w:val="22"/>
                <w:szCs w:val="22"/>
                <w:vertAlign w:val="subscript"/>
              </w:rPr>
              <w:t>c,d</w:t>
            </w:r>
            <w:proofErr w:type="spellEnd"/>
          </w:p>
        </w:tc>
        <w:tc>
          <w:tcPr>
            <w:tcW w:w="6655" w:type="dxa"/>
          </w:tcPr>
          <w:p w14:paraId="213C91FA" w14:textId="77777777" w:rsidR="008C3673" w:rsidRPr="004132DB" w:rsidRDefault="008C3673" w:rsidP="00095AB1">
            <w:pPr>
              <w:keepNext/>
              <w:spacing w:after="120"/>
              <w:rPr>
                <w:sz w:val="22"/>
                <w:szCs w:val="22"/>
              </w:rPr>
            </w:pPr>
            <w:r w:rsidRPr="004132DB">
              <w:rPr>
                <w:sz w:val="22"/>
                <w:szCs w:val="22"/>
              </w:rPr>
              <w:t xml:space="preserve">Variable indicating whether day </w:t>
            </w:r>
            <w:r w:rsidRPr="004132DB">
              <w:rPr>
                <w:i/>
                <w:sz w:val="22"/>
                <w:szCs w:val="22"/>
              </w:rPr>
              <w:t>d</w:t>
            </w:r>
            <w:r w:rsidRPr="004132DB">
              <w:rPr>
                <w:sz w:val="22"/>
                <w:szCs w:val="22"/>
              </w:rPr>
              <w:t xml:space="preserve"> is an event day for customer </w:t>
            </w:r>
            <w:r w:rsidRPr="004132DB">
              <w:rPr>
                <w:i/>
                <w:sz w:val="22"/>
                <w:szCs w:val="22"/>
              </w:rPr>
              <w:t>c</w:t>
            </w:r>
            <w:r w:rsidRPr="004132DB">
              <w:rPr>
                <w:sz w:val="22"/>
                <w:szCs w:val="22"/>
              </w:rPr>
              <w:t xml:space="preserve"> </w:t>
            </w:r>
            <w:r w:rsidRPr="004132DB">
              <w:rPr>
                <w:sz w:val="22"/>
                <w:szCs w:val="22"/>
                <w:vertAlign w:val="superscript"/>
              </w:rPr>
              <w:footnoteReference w:id="11"/>
            </w:r>
          </w:p>
        </w:tc>
      </w:tr>
      <w:tr w:rsidR="008C3673" w:rsidRPr="004132DB" w14:paraId="0A175EC3" w14:textId="77777777" w:rsidTr="008B6E1E">
        <w:tc>
          <w:tcPr>
            <w:tcW w:w="1975" w:type="dxa"/>
          </w:tcPr>
          <w:p w14:paraId="6DF746F8" w14:textId="0A2904C9" w:rsidR="008C3673" w:rsidRPr="004132DB" w:rsidRDefault="008C3673" w:rsidP="00095AB1">
            <w:pPr>
              <w:keepNext/>
              <w:spacing w:after="120"/>
              <w:rPr>
                <w:sz w:val="22"/>
                <w:szCs w:val="22"/>
              </w:rPr>
            </w:pPr>
            <w:proofErr w:type="spellStart"/>
            <w:r w:rsidRPr="004132DB">
              <w:rPr>
                <w:i/>
                <w:sz w:val="22"/>
                <w:szCs w:val="22"/>
              </w:rPr>
              <w:t>Post</w:t>
            </w:r>
            <w:r w:rsidR="00B13B24" w:rsidRPr="00237521">
              <w:rPr>
                <w:i/>
                <w:sz w:val="22"/>
                <w:szCs w:val="22"/>
                <w:vertAlign w:val="subscript"/>
              </w:rPr>
              <w:t>c,</w:t>
            </w:r>
            <w:r w:rsidRPr="004132DB">
              <w:rPr>
                <w:i/>
                <w:sz w:val="22"/>
                <w:szCs w:val="22"/>
                <w:vertAlign w:val="subscript"/>
              </w:rPr>
              <w:t>d</w:t>
            </w:r>
            <w:proofErr w:type="spellEnd"/>
          </w:p>
        </w:tc>
        <w:tc>
          <w:tcPr>
            <w:tcW w:w="6655" w:type="dxa"/>
          </w:tcPr>
          <w:p w14:paraId="426A7BAC" w14:textId="41EF4873" w:rsidR="008C3673" w:rsidRPr="00237521" w:rsidRDefault="008C3673" w:rsidP="00095AB1">
            <w:pPr>
              <w:keepNext/>
              <w:spacing w:after="120"/>
              <w:rPr>
                <w:i/>
                <w:sz w:val="22"/>
                <w:szCs w:val="22"/>
              </w:rPr>
            </w:pPr>
            <w:r w:rsidRPr="004132DB">
              <w:rPr>
                <w:sz w:val="22"/>
                <w:szCs w:val="22"/>
              </w:rPr>
              <w:t xml:space="preserve">Variable indicating that day </w:t>
            </w:r>
            <w:r w:rsidRPr="004132DB">
              <w:rPr>
                <w:i/>
                <w:sz w:val="22"/>
                <w:szCs w:val="22"/>
              </w:rPr>
              <w:t>d</w:t>
            </w:r>
            <w:r w:rsidRPr="004132DB">
              <w:rPr>
                <w:sz w:val="22"/>
                <w:szCs w:val="22"/>
              </w:rPr>
              <w:t xml:space="preserve"> is in the post-enrollment period</w:t>
            </w:r>
            <w:r w:rsidR="00B13B24">
              <w:rPr>
                <w:sz w:val="22"/>
                <w:szCs w:val="22"/>
              </w:rPr>
              <w:t xml:space="preserve"> for customer </w:t>
            </w:r>
            <w:r w:rsidR="00B13B24">
              <w:rPr>
                <w:i/>
                <w:sz w:val="22"/>
                <w:szCs w:val="22"/>
              </w:rPr>
              <w:t>c</w:t>
            </w:r>
          </w:p>
        </w:tc>
      </w:tr>
      <w:tr w:rsidR="003D2210" w:rsidRPr="004132DB" w14:paraId="74B2DA91" w14:textId="77777777" w:rsidTr="008B6E1E">
        <w:tc>
          <w:tcPr>
            <w:tcW w:w="1975" w:type="dxa"/>
          </w:tcPr>
          <w:p w14:paraId="2C54475F" w14:textId="7677BE5E" w:rsidR="003D2210" w:rsidRPr="004132DB" w:rsidRDefault="003D2210" w:rsidP="00095AB1">
            <w:pPr>
              <w:keepNext/>
              <w:spacing w:after="120"/>
              <w:rPr>
                <w:i/>
                <w:sz w:val="22"/>
                <w:szCs w:val="22"/>
              </w:rPr>
            </w:pPr>
            <w:proofErr w:type="spellStart"/>
            <w:r w:rsidRPr="00FF4417">
              <w:rPr>
                <w:i/>
              </w:rPr>
              <w:t>SCTD</w:t>
            </w:r>
            <w:r>
              <w:t>_</w:t>
            </w:r>
            <w:r w:rsidRPr="004E0A46">
              <w:rPr>
                <w:i/>
              </w:rPr>
              <w:t>Evt</w:t>
            </w:r>
            <w:r w:rsidR="00C403CC">
              <w:rPr>
                <w:vertAlign w:val="subscript"/>
              </w:rPr>
              <w:t>c,d</w:t>
            </w:r>
            <w:proofErr w:type="spellEnd"/>
          </w:p>
        </w:tc>
        <w:tc>
          <w:tcPr>
            <w:tcW w:w="6655" w:type="dxa"/>
          </w:tcPr>
          <w:p w14:paraId="3842C601" w14:textId="104EFF2C" w:rsidR="003D2210" w:rsidRPr="00D62B15" w:rsidRDefault="003D2210" w:rsidP="00095AB1">
            <w:pPr>
              <w:keepNext/>
              <w:spacing w:after="120"/>
              <w:rPr>
                <w:i/>
                <w:sz w:val="22"/>
                <w:szCs w:val="22"/>
              </w:rPr>
            </w:pPr>
            <w:r w:rsidRPr="004E0A46">
              <w:rPr>
                <w:sz w:val="22"/>
                <w:szCs w:val="22"/>
              </w:rPr>
              <w:t xml:space="preserve">Variable indicating that day </w:t>
            </w:r>
            <w:r w:rsidRPr="004E0A46">
              <w:rPr>
                <w:i/>
                <w:sz w:val="22"/>
                <w:szCs w:val="22"/>
              </w:rPr>
              <w:t>d</w:t>
            </w:r>
            <w:r w:rsidRPr="004E0A46">
              <w:rPr>
                <w:sz w:val="22"/>
                <w:szCs w:val="22"/>
              </w:rPr>
              <w:t xml:space="preserve"> is </w:t>
            </w:r>
            <w:r>
              <w:rPr>
                <w:sz w:val="22"/>
                <w:szCs w:val="22"/>
              </w:rPr>
              <w:t xml:space="preserve">a </w:t>
            </w:r>
            <w:r w:rsidRPr="00D62B15">
              <w:rPr>
                <w:i/>
                <w:sz w:val="22"/>
                <w:szCs w:val="22"/>
              </w:rPr>
              <w:t>SCTD</w:t>
            </w:r>
            <w:r>
              <w:rPr>
                <w:sz w:val="22"/>
                <w:szCs w:val="22"/>
              </w:rPr>
              <w:t xml:space="preserve"> </w:t>
            </w:r>
            <w:r w:rsidRPr="004E0A46">
              <w:rPr>
                <w:sz w:val="22"/>
                <w:szCs w:val="22"/>
              </w:rPr>
              <w:t>event day (1</w:t>
            </w:r>
            <w:r>
              <w:rPr>
                <w:sz w:val="22"/>
                <w:szCs w:val="22"/>
              </w:rPr>
              <w:t>=</w:t>
            </w:r>
            <w:r w:rsidRPr="004E0A46">
              <w:rPr>
                <w:sz w:val="22"/>
                <w:szCs w:val="22"/>
              </w:rPr>
              <w:t xml:space="preserve"> event, 0 if not)</w:t>
            </w:r>
            <w:r w:rsidR="00C403CC">
              <w:rPr>
                <w:sz w:val="22"/>
                <w:szCs w:val="22"/>
              </w:rPr>
              <w:t xml:space="preserve"> for customer </w:t>
            </w:r>
            <w:r w:rsidR="00C403CC">
              <w:rPr>
                <w:i/>
                <w:sz w:val="22"/>
                <w:szCs w:val="22"/>
              </w:rPr>
              <w:t>c</w:t>
            </w:r>
          </w:p>
        </w:tc>
      </w:tr>
      <w:tr w:rsidR="003D2210" w:rsidRPr="004132DB" w14:paraId="4E6D2B5A" w14:textId="77777777" w:rsidTr="008B6E1E">
        <w:tc>
          <w:tcPr>
            <w:tcW w:w="1975" w:type="dxa"/>
          </w:tcPr>
          <w:p w14:paraId="7402A088" w14:textId="62A24C88" w:rsidR="003D2210" w:rsidRPr="004132DB" w:rsidRDefault="003D2210" w:rsidP="00095AB1">
            <w:pPr>
              <w:keepNext/>
              <w:spacing w:after="120"/>
              <w:rPr>
                <w:i/>
                <w:sz w:val="22"/>
                <w:szCs w:val="22"/>
              </w:rPr>
            </w:pPr>
            <w:proofErr w:type="spellStart"/>
            <w:r w:rsidRPr="00FF4417">
              <w:rPr>
                <w:i/>
              </w:rPr>
              <w:t>SS_</w:t>
            </w:r>
            <w:r w:rsidRPr="004E0A46">
              <w:rPr>
                <w:i/>
              </w:rPr>
              <w:t>Evt</w:t>
            </w:r>
            <w:r w:rsidR="00F449EA">
              <w:rPr>
                <w:vertAlign w:val="subscript"/>
              </w:rPr>
              <w:t>c,d</w:t>
            </w:r>
            <w:proofErr w:type="spellEnd"/>
          </w:p>
        </w:tc>
        <w:tc>
          <w:tcPr>
            <w:tcW w:w="6655" w:type="dxa"/>
          </w:tcPr>
          <w:p w14:paraId="23D5716D" w14:textId="7A0F9C74" w:rsidR="003D2210" w:rsidRPr="00D62B15" w:rsidRDefault="003D2210" w:rsidP="00095AB1">
            <w:pPr>
              <w:keepNext/>
              <w:spacing w:after="120"/>
              <w:rPr>
                <w:i/>
                <w:sz w:val="22"/>
                <w:szCs w:val="22"/>
              </w:rPr>
            </w:pPr>
            <w:r w:rsidRPr="004E0A46">
              <w:rPr>
                <w:sz w:val="22"/>
                <w:szCs w:val="22"/>
              </w:rPr>
              <w:t xml:space="preserve">Variable indicating that day </w:t>
            </w:r>
            <w:r w:rsidRPr="004E0A46">
              <w:rPr>
                <w:i/>
                <w:sz w:val="22"/>
                <w:szCs w:val="22"/>
              </w:rPr>
              <w:t>d</w:t>
            </w:r>
            <w:r>
              <w:rPr>
                <w:sz w:val="22"/>
                <w:szCs w:val="22"/>
              </w:rPr>
              <w:t xml:space="preserve"> is</w:t>
            </w:r>
            <w:r w:rsidRPr="004E0A46">
              <w:rPr>
                <w:sz w:val="22"/>
                <w:szCs w:val="22"/>
              </w:rPr>
              <w:t xml:space="preserve"> </w:t>
            </w:r>
            <w:r>
              <w:rPr>
                <w:i/>
                <w:sz w:val="22"/>
                <w:szCs w:val="22"/>
              </w:rPr>
              <w:t>a</w:t>
            </w:r>
            <w:r w:rsidRPr="004E0A46">
              <w:rPr>
                <w:sz w:val="22"/>
                <w:szCs w:val="22"/>
              </w:rPr>
              <w:t xml:space="preserve"> </w:t>
            </w:r>
            <w:r>
              <w:rPr>
                <w:sz w:val="22"/>
                <w:szCs w:val="22"/>
              </w:rPr>
              <w:t xml:space="preserve">Summer Saver </w:t>
            </w:r>
            <w:r w:rsidRPr="004E0A46">
              <w:rPr>
                <w:sz w:val="22"/>
                <w:szCs w:val="22"/>
              </w:rPr>
              <w:t>event day (1=event, 0 if not)</w:t>
            </w:r>
            <w:r w:rsidR="00C403CC">
              <w:rPr>
                <w:sz w:val="22"/>
                <w:szCs w:val="22"/>
              </w:rPr>
              <w:t xml:space="preserve"> for customer </w:t>
            </w:r>
            <w:r w:rsidR="00C403CC">
              <w:rPr>
                <w:i/>
                <w:sz w:val="22"/>
                <w:szCs w:val="22"/>
              </w:rPr>
              <w:t>c</w:t>
            </w:r>
          </w:p>
        </w:tc>
      </w:tr>
      <w:tr w:rsidR="008C3673" w:rsidRPr="004132DB" w14:paraId="2B6C29FE" w14:textId="77777777" w:rsidTr="008B6E1E">
        <w:tc>
          <w:tcPr>
            <w:tcW w:w="1975" w:type="dxa"/>
          </w:tcPr>
          <w:p w14:paraId="3D9B1A2F" w14:textId="77777777" w:rsidR="008C3673" w:rsidRPr="004132DB" w:rsidRDefault="008C3673" w:rsidP="00095AB1">
            <w:pPr>
              <w:keepNext/>
              <w:spacing w:after="120"/>
              <w:rPr>
                <w:sz w:val="22"/>
                <w:szCs w:val="22"/>
              </w:rPr>
            </w:pPr>
            <w:r w:rsidRPr="004132DB">
              <w:rPr>
                <w:sz w:val="22"/>
                <w:szCs w:val="22"/>
              </w:rPr>
              <w:t>β</w:t>
            </w:r>
            <w:r w:rsidRPr="004132DB">
              <w:rPr>
                <w:sz w:val="22"/>
                <w:szCs w:val="22"/>
                <w:vertAlign w:val="subscript"/>
              </w:rPr>
              <w:t>0</w:t>
            </w:r>
          </w:p>
        </w:tc>
        <w:tc>
          <w:tcPr>
            <w:tcW w:w="6655" w:type="dxa"/>
          </w:tcPr>
          <w:p w14:paraId="02485186" w14:textId="77777777" w:rsidR="008C3673" w:rsidRPr="004132DB" w:rsidRDefault="008C3673" w:rsidP="00095AB1">
            <w:pPr>
              <w:keepNext/>
              <w:spacing w:after="120"/>
              <w:rPr>
                <w:sz w:val="22"/>
                <w:szCs w:val="22"/>
              </w:rPr>
            </w:pPr>
            <w:r w:rsidRPr="004132DB">
              <w:rPr>
                <w:sz w:val="22"/>
                <w:szCs w:val="22"/>
              </w:rPr>
              <w:t>Estimated constant coefficient</w:t>
            </w:r>
          </w:p>
        </w:tc>
      </w:tr>
      <w:tr w:rsidR="008C3673" w:rsidRPr="004132DB" w14:paraId="00D14F8C" w14:textId="77777777" w:rsidTr="008B6E1E">
        <w:tc>
          <w:tcPr>
            <w:tcW w:w="1975" w:type="dxa"/>
          </w:tcPr>
          <w:p w14:paraId="6F93C479" w14:textId="77777777" w:rsidR="008C3673" w:rsidRPr="004132DB" w:rsidRDefault="008C3673" w:rsidP="00095AB1">
            <w:pPr>
              <w:keepNext/>
              <w:spacing w:after="120"/>
              <w:rPr>
                <w:sz w:val="22"/>
                <w:szCs w:val="22"/>
              </w:rPr>
            </w:pPr>
            <w:r w:rsidRPr="004132DB">
              <w:rPr>
                <w:sz w:val="22"/>
                <w:szCs w:val="22"/>
              </w:rPr>
              <w:t>β</w:t>
            </w:r>
            <w:r w:rsidRPr="004132DB">
              <w:rPr>
                <w:sz w:val="22"/>
                <w:szCs w:val="22"/>
                <w:vertAlign w:val="subscript"/>
              </w:rPr>
              <w:t xml:space="preserve"> 1</w:t>
            </w:r>
          </w:p>
        </w:tc>
        <w:tc>
          <w:tcPr>
            <w:tcW w:w="6655" w:type="dxa"/>
          </w:tcPr>
          <w:p w14:paraId="12E54694" w14:textId="77777777" w:rsidR="008C3673" w:rsidRPr="004132DB" w:rsidRDefault="008C3673" w:rsidP="00095AB1">
            <w:pPr>
              <w:keepNext/>
              <w:spacing w:after="120"/>
              <w:rPr>
                <w:sz w:val="22"/>
                <w:szCs w:val="22"/>
              </w:rPr>
            </w:pPr>
            <w:r w:rsidRPr="004132DB">
              <w:rPr>
                <w:sz w:val="22"/>
                <w:szCs w:val="22"/>
              </w:rPr>
              <w:t>Estimate of TOU load impact</w:t>
            </w:r>
          </w:p>
        </w:tc>
      </w:tr>
      <w:tr w:rsidR="008C3673" w:rsidRPr="004132DB" w14:paraId="2577843D" w14:textId="77777777" w:rsidTr="008B6E1E">
        <w:tc>
          <w:tcPr>
            <w:tcW w:w="1975" w:type="dxa"/>
          </w:tcPr>
          <w:p w14:paraId="78E54EAD" w14:textId="3CAF21BD" w:rsidR="008C3673" w:rsidRPr="004132DB" w:rsidRDefault="008C3673" w:rsidP="00095AB1">
            <w:pPr>
              <w:keepNext/>
              <w:spacing w:after="120"/>
              <w:rPr>
                <w:sz w:val="22"/>
                <w:szCs w:val="22"/>
              </w:rPr>
            </w:pPr>
            <w:r w:rsidRPr="004132DB">
              <w:rPr>
                <w:sz w:val="22"/>
                <w:szCs w:val="22"/>
              </w:rPr>
              <w:t>β</w:t>
            </w:r>
            <w:r w:rsidRPr="004132DB">
              <w:rPr>
                <w:sz w:val="22"/>
                <w:szCs w:val="22"/>
                <w:vertAlign w:val="subscript"/>
              </w:rPr>
              <w:t>2,Cust</w:t>
            </w:r>
            <w:r w:rsidR="00C403CC">
              <w:rPr>
                <w:sz w:val="22"/>
                <w:szCs w:val="22"/>
                <w:vertAlign w:val="subscript"/>
              </w:rPr>
              <w:t xml:space="preserve"> and </w:t>
            </w:r>
            <w:r w:rsidR="00C403CC" w:rsidRPr="004132DB">
              <w:rPr>
                <w:sz w:val="22"/>
                <w:szCs w:val="22"/>
              </w:rPr>
              <w:t>β</w:t>
            </w:r>
            <w:r w:rsidR="00C403CC" w:rsidRPr="004132DB">
              <w:rPr>
                <w:sz w:val="22"/>
                <w:szCs w:val="22"/>
                <w:vertAlign w:val="subscript"/>
              </w:rPr>
              <w:t>3,day</w:t>
            </w:r>
          </w:p>
        </w:tc>
        <w:tc>
          <w:tcPr>
            <w:tcW w:w="6655" w:type="dxa"/>
          </w:tcPr>
          <w:p w14:paraId="1008321F" w14:textId="3CF3B005" w:rsidR="008C3673" w:rsidRPr="004132DB" w:rsidRDefault="008C3673" w:rsidP="00095AB1">
            <w:pPr>
              <w:keepNext/>
              <w:spacing w:after="120"/>
              <w:rPr>
                <w:sz w:val="22"/>
                <w:szCs w:val="22"/>
              </w:rPr>
            </w:pPr>
            <w:r w:rsidRPr="004132DB">
              <w:rPr>
                <w:sz w:val="22"/>
                <w:szCs w:val="22"/>
              </w:rPr>
              <w:t xml:space="preserve">Estimated customer </w:t>
            </w:r>
            <w:r w:rsidR="00C403CC">
              <w:rPr>
                <w:sz w:val="22"/>
                <w:szCs w:val="22"/>
              </w:rPr>
              <w:t xml:space="preserve">and day </w:t>
            </w:r>
            <w:r w:rsidRPr="004132DB">
              <w:rPr>
                <w:sz w:val="22"/>
                <w:szCs w:val="22"/>
              </w:rPr>
              <w:t>fixed effects</w:t>
            </w:r>
          </w:p>
        </w:tc>
      </w:tr>
      <w:tr w:rsidR="008C3673" w:rsidRPr="004132DB" w14:paraId="17D4AFFF" w14:textId="77777777" w:rsidTr="008B6E1E">
        <w:tc>
          <w:tcPr>
            <w:tcW w:w="1975" w:type="dxa"/>
          </w:tcPr>
          <w:p w14:paraId="3F33C940" w14:textId="77777777" w:rsidR="008C3673" w:rsidRPr="004132DB" w:rsidRDefault="008C3673" w:rsidP="00095AB1">
            <w:pPr>
              <w:keepNext/>
              <w:spacing w:after="120"/>
              <w:rPr>
                <w:sz w:val="22"/>
                <w:szCs w:val="22"/>
              </w:rPr>
            </w:pPr>
            <w:r w:rsidRPr="004132DB">
              <w:rPr>
                <w:sz w:val="22"/>
                <w:szCs w:val="22"/>
              </w:rPr>
              <w:t>β</w:t>
            </w:r>
            <w:r w:rsidRPr="004132DB">
              <w:rPr>
                <w:sz w:val="22"/>
                <w:szCs w:val="22"/>
                <w:vertAlign w:val="subscript"/>
              </w:rPr>
              <w:t xml:space="preserve"> 4</w:t>
            </w:r>
          </w:p>
        </w:tc>
        <w:tc>
          <w:tcPr>
            <w:tcW w:w="6655" w:type="dxa"/>
          </w:tcPr>
          <w:p w14:paraId="40BC6DFF" w14:textId="77777777" w:rsidR="008C3673" w:rsidRPr="004132DB" w:rsidRDefault="008C3673" w:rsidP="00095AB1">
            <w:pPr>
              <w:keepNext/>
              <w:spacing w:after="120"/>
              <w:rPr>
                <w:sz w:val="22"/>
                <w:szCs w:val="22"/>
              </w:rPr>
            </w:pPr>
            <w:r w:rsidRPr="004132DB">
              <w:rPr>
                <w:sz w:val="22"/>
                <w:szCs w:val="22"/>
              </w:rPr>
              <w:t>Estimate of average event-day load impact</w:t>
            </w:r>
          </w:p>
        </w:tc>
      </w:tr>
      <w:tr w:rsidR="00C403CC" w:rsidRPr="004132DB" w14:paraId="68F58F7B" w14:textId="77777777" w:rsidTr="008B6E1E">
        <w:tc>
          <w:tcPr>
            <w:tcW w:w="1975" w:type="dxa"/>
          </w:tcPr>
          <w:p w14:paraId="454B4D05" w14:textId="1AA5F559" w:rsidR="00C403CC" w:rsidRPr="004132DB" w:rsidRDefault="00C403CC" w:rsidP="00095AB1">
            <w:pPr>
              <w:keepNext/>
              <w:spacing w:after="120"/>
              <w:rPr>
                <w:sz w:val="22"/>
                <w:szCs w:val="22"/>
              </w:rPr>
            </w:pPr>
            <w:r w:rsidRPr="004132DB">
              <w:rPr>
                <w:sz w:val="22"/>
                <w:szCs w:val="22"/>
              </w:rPr>
              <w:t>β</w:t>
            </w:r>
            <w:r>
              <w:rPr>
                <w:sz w:val="22"/>
                <w:szCs w:val="22"/>
                <w:vertAlign w:val="subscript"/>
              </w:rPr>
              <w:t xml:space="preserve"> 5 and </w:t>
            </w:r>
            <w:r w:rsidRPr="004132DB">
              <w:rPr>
                <w:sz w:val="22"/>
                <w:szCs w:val="22"/>
              </w:rPr>
              <w:t>β</w:t>
            </w:r>
            <w:r w:rsidRPr="004132DB">
              <w:rPr>
                <w:sz w:val="22"/>
                <w:szCs w:val="22"/>
                <w:vertAlign w:val="subscript"/>
              </w:rPr>
              <w:t xml:space="preserve"> </w:t>
            </w:r>
            <w:r>
              <w:rPr>
                <w:sz w:val="22"/>
                <w:szCs w:val="22"/>
                <w:vertAlign w:val="subscript"/>
              </w:rPr>
              <w:t>6</w:t>
            </w:r>
          </w:p>
        </w:tc>
        <w:tc>
          <w:tcPr>
            <w:tcW w:w="6655" w:type="dxa"/>
          </w:tcPr>
          <w:p w14:paraId="74D6A143" w14:textId="0E85CBB1" w:rsidR="00C403CC" w:rsidRPr="004132DB" w:rsidRDefault="00C403CC" w:rsidP="00095AB1">
            <w:pPr>
              <w:keepNext/>
              <w:spacing w:after="120"/>
              <w:rPr>
                <w:sz w:val="22"/>
                <w:szCs w:val="22"/>
              </w:rPr>
            </w:pPr>
            <w:r>
              <w:rPr>
                <w:sz w:val="22"/>
                <w:szCs w:val="22"/>
              </w:rPr>
              <w:t xml:space="preserve">Estimated average </w:t>
            </w:r>
            <w:r w:rsidRPr="00C403CC">
              <w:rPr>
                <w:i/>
                <w:sz w:val="22"/>
                <w:szCs w:val="22"/>
              </w:rPr>
              <w:t>SCT</w:t>
            </w:r>
            <w:r>
              <w:rPr>
                <w:i/>
                <w:sz w:val="22"/>
                <w:szCs w:val="22"/>
              </w:rPr>
              <w:t>D</w:t>
            </w:r>
            <w:r>
              <w:rPr>
                <w:sz w:val="22"/>
                <w:szCs w:val="22"/>
              </w:rPr>
              <w:t xml:space="preserve"> and </w:t>
            </w:r>
            <w:r w:rsidRPr="00D62B15">
              <w:rPr>
                <w:sz w:val="22"/>
                <w:szCs w:val="22"/>
              </w:rPr>
              <w:t>SS</w:t>
            </w:r>
            <w:r>
              <w:rPr>
                <w:sz w:val="22"/>
                <w:szCs w:val="22"/>
              </w:rPr>
              <w:t xml:space="preserve"> </w:t>
            </w:r>
            <w:r w:rsidRPr="00C403CC">
              <w:rPr>
                <w:sz w:val="22"/>
                <w:szCs w:val="22"/>
              </w:rPr>
              <w:t>event</w:t>
            </w:r>
            <w:r>
              <w:rPr>
                <w:sz w:val="22"/>
                <w:szCs w:val="22"/>
              </w:rPr>
              <w:t xml:space="preserve"> event-day load impacts</w:t>
            </w:r>
          </w:p>
        </w:tc>
      </w:tr>
      <w:tr w:rsidR="008C3673" w:rsidRPr="004132DB" w14:paraId="78391C9F" w14:textId="77777777" w:rsidTr="008B6E1E">
        <w:tc>
          <w:tcPr>
            <w:tcW w:w="1975" w:type="dxa"/>
          </w:tcPr>
          <w:p w14:paraId="557093BD" w14:textId="77777777" w:rsidR="008C3673" w:rsidRPr="004132DB" w:rsidRDefault="008C3673" w:rsidP="00095AB1">
            <w:pPr>
              <w:keepNext/>
              <w:spacing w:after="120"/>
              <w:rPr>
                <w:sz w:val="22"/>
                <w:szCs w:val="22"/>
              </w:rPr>
            </w:pPr>
            <w:r w:rsidRPr="004132DB">
              <w:rPr>
                <w:i/>
                <w:sz w:val="22"/>
                <w:szCs w:val="22"/>
              </w:rPr>
              <w:t>C</w:t>
            </w:r>
            <w:r w:rsidRPr="004132DB">
              <w:rPr>
                <w:i/>
                <w:sz w:val="22"/>
                <w:szCs w:val="22"/>
                <w:vertAlign w:val="subscript"/>
              </w:rPr>
              <w:t>c</w:t>
            </w:r>
          </w:p>
        </w:tc>
        <w:tc>
          <w:tcPr>
            <w:tcW w:w="6655" w:type="dxa"/>
          </w:tcPr>
          <w:p w14:paraId="5AE0AC26" w14:textId="77777777" w:rsidR="008C3673" w:rsidRPr="004132DB" w:rsidRDefault="008C3673" w:rsidP="00095AB1">
            <w:pPr>
              <w:keepNext/>
              <w:spacing w:after="120"/>
              <w:rPr>
                <w:sz w:val="22"/>
                <w:szCs w:val="22"/>
              </w:rPr>
            </w:pPr>
            <w:r w:rsidRPr="004132DB">
              <w:rPr>
                <w:sz w:val="22"/>
                <w:szCs w:val="22"/>
              </w:rPr>
              <w:t xml:space="preserve">Variable indicating that the observation is associated with customer </w:t>
            </w:r>
            <w:r w:rsidRPr="004132DB">
              <w:rPr>
                <w:i/>
                <w:sz w:val="22"/>
                <w:szCs w:val="22"/>
              </w:rPr>
              <w:t>c</w:t>
            </w:r>
          </w:p>
        </w:tc>
      </w:tr>
      <w:tr w:rsidR="008C3673" w:rsidRPr="004132DB" w14:paraId="61BFC256" w14:textId="77777777" w:rsidTr="008B6E1E">
        <w:tc>
          <w:tcPr>
            <w:tcW w:w="1975" w:type="dxa"/>
          </w:tcPr>
          <w:p w14:paraId="420BF267" w14:textId="77777777" w:rsidR="008C3673" w:rsidRPr="004132DB" w:rsidRDefault="008C3673" w:rsidP="00095AB1">
            <w:pPr>
              <w:keepNext/>
              <w:spacing w:after="120"/>
              <w:rPr>
                <w:i/>
                <w:sz w:val="22"/>
                <w:szCs w:val="22"/>
              </w:rPr>
            </w:pPr>
            <w:proofErr w:type="spellStart"/>
            <w:r w:rsidRPr="004132DB">
              <w:rPr>
                <w:i/>
                <w:sz w:val="22"/>
                <w:szCs w:val="22"/>
              </w:rPr>
              <w:t>D</w:t>
            </w:r>
            <w:r w:rsidRPr="004132DB">
              <w:rPr>
                <w:i/>
                <w:sz w:val="22"/>
                <w:szCs w:val="22"/>
                <w:vertAlign w:val="subscript"/>
              </w:rPr>
              <w:t>day</w:t>
            </w:r>
            <w:proofErr w:type="spellEnd"/>
          </w:p>
        </w:tc>
        <w:tc>
          <w:tcPr>
            <w:tcW w:w="6655" w:type="dxa"/>
          </w:tcPr>
          <w:p w14:paraId="5F5F2FF5" w14:textId="77777777" w:rsidR="008C3673" w:rsidRPr="004132DB" w:rsidRDefault="008C3673" w:rsidP="00095AB1">
            <w:pPr>
              <w:keepNext/>
              <w:spacing w:after="120"/>
              <w:rPr>
                <w:sz w:val="22"/>
                <w:szCs w:val="22"/>
              </w:rPr>
            </w:pPr>
            <w:r w:rsidRPr="004132DB">
              <w:rPr>
                <w:sz w:val="22"/>
                <w:szCs w:val="22"/>
              </w:rPr>
              <w:t xml:space="preserve">Variable indicating that the observation is for day </w:t>
            </w:r>
            <w:r w:rsidRPr="004132DB">
              <w:rPr>
                <w:i/>
                <w:sz w:val="22"/>
                <w:szCs w:val="22"/>
              </w:rPr>
              <w:t>d</w:t>
            </w:r>
          </w:p>
        </w:tc>
      </w:tr>
      <w:tr w:rsidR="008C3673" w:rsidRPr="004132DB" w14:paraId="6047B158" w14:textId="77777777" w:rsidTr="008B6E1E">
        <w:tc>
          <w:tcPr>
            <w:tcW w:w="1975" w:type="dxa"/>
          </w:tcPr>
          <w:p w14:paraId="148F5282" w14:textId="77777777" w:rsidR="008C3673" w:rsidRPr="004132DB" w:rsidRDefault="008C3673" w:rsidP="00095AB1">
            <w:pPr>
              <w:keepNext/>
              <w:spacing w:after="120"/>
              <w:rPr>
                <w:sz w:val="22"/>
                <w:szCs w:val="22"/>
              </w:rPr>
            </w:pPr>
            <w:proofErr w:type="spellStart"/>
            <w:r w:rsidRPr="004132DB">
              <w:rPr>
                <w:sz w:val="22"/>
                <w:szCs w:val="22"/>
              </w:rPr>
              <w:t>ε</w:t>
            </w:r>
            <w:r w:rsidRPr="004132DB">
              <w:rPr>
                <w:sz w:val="22"/>
                <w:szCs w:val="22"/>
                <w:vertAlign w:val="subscript"/>
              </w:rPr>
              <w:t>c,d</w:t>
            </w:r>
            <w:proofErr w:type="spellEnd"/>
          </w:p>
        </w:tc>
        <w:tc>
          <w:tcPr>
            <w:tcW w:w="6655" w:type="dxa"/>
          </w:tcPr>
          <w:p w14:paraId="595D02F7" w14:textId="77777777" w:rsidR="008C3673" w:rsidRPr="004132DB" w:rsidRDefault="008C3673" w:rsidP="00095AB1">
            <w:pPr>
              <w:keepNext/>
              <w:spacing w:after="120"/>
              <w:rPr>
                <w:sz w:val="22"/>
                <w:szCs w:val="22"/>
              </w:rPr>
            </w:pPr>
            <w:r w:rsidRPr="004132DB">
              <w:rPr>
                <w:sz w:val="22"/>
                <w:szCs w:val="22"/>
              </w:rPr>
              <w:t>Error term</w:t>
            </w:r>
          </w:p>
        </w:tc>
      </w:tr>
    </w:tbl>
    <w:p w14:paraId="396B6139" w14:textId="77777777" w:rsidR="008C3673" w:rsidRPr="004132DB" w:rsidRDefault="008C3673" w:rsidP="00095AB1">
      <w:pPr>
        <w:spacing w:after="120"/>
        <w:rPr>
          <w:szCs w:val="32"/>
        </w:rPr>
      </w:pPr>
    </w:p>
    <w:p w14:paraId="5C2431D4" w14:textId="378D4EC7" w:rsidR="008C3673" w:rsidRPr="004132DB" w:rsidRDefault="00822514" w:rsidP="00095AB1">
      <w:pPr>
        <w:pStyle w:val="Heading3"/>
        <w:spacing w:after="120"/>
      </w:pPr>
      <w:bookmarkStart w:id="63" w:name="_Toc326154182"/>
      <w:bookmarkStart w:id="64" w:name="_Toc509576753"/>
      <w:r>
        <w:lastRenderedPageBreak/>
        <w:t>3.2.</w:t>
      </w:r>
      <w:r w:rsidR="00A13F47">
        <w:t>5</w:t>
      </w:r>
      <w:r w:rsidR="00DF1FE1">
        <w:t xml:space="preserve"> </w:t>
      </w:r>
      <w:r w:rsidR="008C3673" w:rsidRPr="004132DB">
        <w:t>Calculating uncertainty-adjusted load impacts</w:t>
      </w:r>
      <w:bookmarkEnd w:id="63"/>
      <w:bookmarkEnd w:id="64"/>
    </w:p>
    <w:p w14:paraId="739866FB" w14:textId="77777777" w:rsidR="008C3673" w:rsidRPr="004132DB" w:rsidRDefault="008C3673" w:rsidP="00095AB1">
      <w:pPr>
        <w:spacing w:after="120"/>
        <w:rPr>
          <w:szCs w:val="32"/>
        </w:rPr>
      </w:pPr>
      <w:r w:rsidRPr="004132DB">
        <w:rPr>
          <w:szCs w:val="32"/>
        </w:rPr>
        <w:t xml:space="preserve">The Load Impact Protocols require the estimation of uncertainty-adjusted load impacts. In the case of </w:t>
      </w:r>
      <w:r w:rsidRPr="004132DB">
        <w:rPr>
          <w:i/>
          <w:szCs w:val="32"/>
        </w:rPr>
        <w:t>ex-post</w:t>
      </w:r>
      <w:r w:rsidRPr="004132DB">
        <w:rPr>
          <w:szCs w:val="32"/>
        </w:rPr>
        <w:t xml:space="preserve"> load impacts, the coefficients that represent the estimated load impacts in the fixed-effects regressions are not estimated with certainty, but with a range of uncertainty indicated by the variance of the estimates. Therefore, we base the uncertainty-adjusted load impacts on the variances associated with the estimated load impact coefficients (</w:t>
      </w:r>
      <w:r w:rsidRPr="004132DB">
        <w:rPr>
          <w:i/>
          <w:szCs w:val="32"/>
        </w:rPr>
        <w:t>e.g.</w:t>
      </w:r>
      <w:r w:rsidRPr="004132DB">
        <w:rPr>
          <w:szCs w:val="32"/>
        </w:rPr>
        <w:t xml:space="preserve">, the event-day or treatment-period coefficients in the twenty-four hourly regressions).  </w:t>
      </w:r>
    </w:p>
    <w:p w14:paraId="5FA60801" w14:textId="4D0A0051" w:rsidR="008C3673" w:rsidRDefault="008C3673" w:rsidP="00095AB1">
      <w:pPr>
        <w:spacing w:after="120"/>
        <w:rPr>
          <w:szCs w:val="32"/>
        </w:rPr>
      </w:pPr>
      <w:r w:rsidRPr="004132DB">
        <w:rPr>
          <w:szCs w:val="32"/>
        </w:rPr>
        <w:t>The uncertainty-adjusted scenarios are then simulated under the assumption that each hour’s load impact is normally distributed with the mean equal to the sum of the estimated load impacts and the standard deviation equal to the square root of the sum of the variances of the errors around the estimates of the load impacts. Results for the 10</w:t>
      </w:r>
      <w:r w:rsidRPr="004132DB">
        <w:rPr>
          <w:szCs w:val="32"/>
          <w:vertAlign w:val="superscript"/>
        </w:rPr>
        <w:t>th</w:t>
      </w:r>
      <w:r w:rsidRPr="004132DB">
        <w:rPr>
          <w:szCs w:val="32"/>
        </w:rPr>
        <w:t>, 30</w:t>
      </w:r>
      <w:r w:rsidRPr="004132DB">
        <w:rPr>
          <w:szCs w:val="32"/>
          <w:vertAlign w:val="superscript"/>
        </w:rPr>
        <w:t>th</w:t>
      </w:r>
      <w:r w:rsidRPr="004132DB">
        <w:rPr>
          <w:szCs w:val="32"/>
        </w:rPr>
        <w:t>, 70</w:t>
      </w:r>
      <w:r w:rsidRPr="004132DB">
        <w:rPr>
          <w:szCs w:val="32"/>
          <w:vertAlign w:val="superscript"/>
        </w:rPr>
        <w:t>th</w:t>
      </w:r>
      <w:r w:rsidRPr="004132DB">
        <w:rPr>
          <w:szCs w:val="32"/>
        </w:rPr>
        <w:t>, and 90</w:t>
      </w:r>
      <w:r w:rsidRPr="004132DB">
        <w:rPr>
          <w:szCs w:val="32"/>
          <w:vertAlign w:val="superscript"/>
        </w:rPr>
        <w:t>th</w:t>
      </w:r>
      <w:r w:rsidRPr="004132DB">
        <w:rPr>
          <w:szCs w:val="32"/>
        </w:rPr>
        <w:t xml:space="preserve"> percentile scenarios are generated from these distributions. </w:t>
      </w:r>
    </w:p>
    <w:p w14:paraId="0219E75E" w14:textId="7CF36D63" w:rsidR="00D62B15" w:rsidRPr="004132DB" w:rsidRDefault="00FE6171" w:rsidP="00095AB1">
      <w:pPr>
        <w:spacing w:after="120"/>
        <w:rPr>
          <w:szCs w:val="32"/>
        </w:rPr>
      </w:pPr>
      <w:r>
        <w:t>To</w:t>
      </w:r>
      <w:r w:rsidR="00D62B15">
        <w:t xml:space="preserve"> develop the uncertainty-adjusted load impacts associated with the </w:t>
      </w:r>
      <w:r w:rsidR="00D62B15" w:rsidRPr="005A3C8C">
        <w:rPr>
          <w:i/>
        </w:rPr>
        <w:t>average</w:t>
      </w:r>
      <w:r w:rsidR="00D62B15">
        <w:t xml:space="preserve"> </w:t>
      </w:r>
      <w:r w:rsidR="00177D9F">
        <w:t xml:space="preserve">CPP </w:t>
      </w:r>
      <w:r w:rsidR="00D62B15">
        <w:t>event hour or by TOU pricing period (</w:t>
      </w:r>
      <w:r w:rsidR="00D62B15">
        <w:rPr>
          <w:i/>
        </w:rPr>
        <w:t>i.e.</w:t>
      </w:r>
      <w:r w:rsidR="00D62B15">
        <w:t xml:space="preserve">, the bottom rows in the tables produced by the </w:t>
      </w:r>
      <w:r w:rsidR="00D62B15" w:rsidRPr="005A3C8C">
        <w:rPr>
          <w:i/>
        </w:rPr>
        <w:t>ex-post</w:t>
      </w:r>
      <w:r w:rsidR="00D62B15">
        <w:t xml:space="preserve"> table generator), we estimated additional sets of regression models in which the load impact variable is constrained to be the same across the applicable hours (</w:t>
      </w:r>
      <w:r w:rsidR="00D62B15" w:rsidRPr="00667B8C">
        <w:rPr>
          <w:i/>
        </w:rPr>
        <w:t>e.g.</w:t>
      </w:r>
      <w:r w:rsidR="00D62B15">
        <w:t>, we directly estimate an average event-hour CPP load impact). The associated standard errors are used to develop the uncertainty-adjusted load impacts in the same manner described above.</w:t>
      </w:r>
    </w:p>
    <w:p w14:paraId="7F8DF191" w14:textId="37B50750" w:rsidR="008C3673" w:rsidRPr="004132DB" w:rsidRDefault="00DF1FE1" w:rsidP="00095AB1">
      <w:pPr>
        <w:pStyle w:val="Heading3"/>
        <w:spacing w:after="120"/>
      </w:pPr>
      <w:bookmarkStart w:id="65" w:name="_Toc326148613"/>
      <w:bookmarkStart w:id="66" w:name="_Toc326154183"/>
      <w:bookmarkStart w:id="67" w:name="_Toc509576754"/>
      <w:r>
        <w:t>3.2.</w:t>
      </w:r>
      <w:r w:rsidR="00A13F47">
        <w:t>6</w:t>
      </w:r>
      <w:r>
        <w:t xml:space="preserve"> </w:t>
      </w:r>
      <w:r w:rsidR="008C3673" w:rsidRPr="004132DB">
        <w:t>Validity assessment</w:t>
      </w:r>
      <w:bookmarkEnd w:id="65"/>
      <w:bookmarkEnd w:id="66"/>
      <w:bookmarkEnd w:id="67"/>
    </w:p>
    <w:p w14:paraId="03793467" w14:textId="050359DA" w:rsidR="008C3673" w:rsidRPr="004132DB" w:rsidRDefault="008C3673" w:rsidP="00095AB1">
      <w:pPr>
        <w:spacing w:after="120"/>
        <w:rPr>
          <w:szCs w:val="32"/>
        </w:rPr>
      </w:pPr>
      <w:bookmarkStart w:id="68" w:name="_Hlk507670862"/>
      <w:r w:rsidRPr="004132DB">
        <w:rPr>
          <w:szCs w:val="32"/>
        </w:rPr>
        <w:t>Because we are employing a control-group approach, our validity assessment focus</w:t>
      </w:r>
      <w:r w:rsidR="00704E54">
        <w:rPr>
          <w:szCs w:val="32"/>
        </w:rPr>
        <w:t>es</w:t>
      </w:r>
      <w:r w:rsidRPr="004132DB">
        <w:rPr>
          <w:szCs w:val="32"/>
        </w:rPr>
        <w:t xml:space="preserve"> on comparisons of treatment and control-group loads for selected </w:t>
      </w:r>
      <w:r w:rsidR="003B1B34">
        <w:rPr>
          <w:szCs w:val="32"/>
        </w:rPr>
        <w:t xml:space="preserve">event-like </w:t>
      </w:r>
      <w:r w:rsidRPr="004132DB">
        <w:rPr>
          <w:szCs w:val="32"/>
        </w:rPr>
        <w:t>non-event days</w:t>
      </w:r>
      <w:r w:rsidR="003B1B34">
        <w:rPr>
          <w:szCs w:val="32"/>
        </w:rPr>
        <w:t xml:space="preserve"> (for CPP) or pre-treatment loads (TOU)</w:t>
      </w:r>
      <w:r w:rsidRPr="004132DB">
        <w:rPr>
          <w:szCs w:val="32"/>
        </w:rPr>
        <w:t xml:space="preserve">. </w:t>
      </w:r>
      <w:bookmarkEnd w:id="68"/>
      <w:r w:rsidRPr="004132DB">
        <w:rPr>
          <w:szCs w:val="32"/>
        </w:rPr>
        <w:t xml:space="preserve">We </w:t>
      </w:r>
      <w:r w:rsidR="003B1B34">
        <w:rPr>
          <w:szCs w:val="32"/>
        </w:rPr>
        <w:t xml:space="preserve">also </w:t>
      </w:r>
      <w:r w:rsidRPr="004132DB">
        <w:rPr>
          <w:szCs w:val="32"/>
        </w:rPr>
        <w:t xml:space="preserve">report statistics </w:t>
      </w:r>
      <w:r w:rsidR="00585C6D">
        <w:rPr>
          <w:szCs w:val="32"/>
        </w:rPr>
        <w:t>such as the</w:t>
      </w:r>
      <w:r w:rsidR="00585C6D" w:rsidRPr="004132DB">
        <w:rPr>
          <w:szCs w:val="32"/>
        </w:rPr>
        <w:t xml:space="preserve"> </w:t>
      </w:r>
      <w:r w:rsidR="00804EF0">
        <w:rPr>
          <w:szCs w:val="32"/>
        </w:rPr>
        <w:t>mean absolute percentage error (MAPE)</w:t>
      </w:r>
      <w:r w:rsidRPr="004132DB">
        <w:rPr>
          <w:szCs w:val="32"/>
        </w:rPr>
        <w:t xml:space="preserve"> and me</w:t>
      </w:r>
      <w:r w:rsidR="00985A7E">
        <w:rPr>
          <w:szCs w:val="32"/>
        </w:rPr>
        <w:t>an</w:t>
      </w:r>
      <w:r w:rsidRPr="004132DB">
        <w:rPr>
          <w:szCs w:val="32"/>
        </w:rPr>
        <w:t xml:space="preserve"> percent error</w:t>
      </w:r>
      <w:r w:rsidR="00804EF0">
        <w:rPr>
          <w:szCs w:val="32"/>
        </w:rPr>
        <w:t xml:space="preserve"> (MPE)</w:t>
      </w:r>
      <w:r w:rsidRPr="004132DB">
        <w:rPr>
          <w:szCs w:val="32"/>
        </w:rPr>
        <w:t xml:space="preserve">, which provide formal estimates of the percent differences between </w:t>
      </w:r>
      <w:r w:rsidR="003B1B34">
        <w:rPr>
          <w:szCs w:val="32"/>
        </w:rPr>
        <w:t>treatment and control group</w:t>
      </w:r>
      <w:r w:rsidRPr="004132DB">
        <w:rPr>
          <w:szCs w:val="32"/>
        </w:rPr>
        <w:t xml:space="preserve"> loads. </w:t>
      </w:r>
      <w:r w:rsidR="00804EF0">
        <w:rPr>
          <w:szCs w:val="32"/>
        </w:rPr>
        <w:t xml:space="preserve">The MAPE offers a measure of accuracy while MPE offers a measure of bias. </w:t>
      </w:r>
    </w:p>
    <w:p w14:paraId="3F946A3D" w14:textId="4BB70F31" w:rsidR="00321E09" w:rsidRDefault="00321E09" w:rsidP="00095AB1">
      <w:pPr>
        <w:pStyle w:val="Heading1"/>
        <w:spacing w:after="120"/>
      </w:pPr>
      <w:bookmarkStart w:id="69" w:name="_Toc509576755"/>
      <w:r>
        <w:t>4</w:t>
      </w:r>
      <w:r w:rsidRPr="00146E50">
        <w:t xml:space="preserve">. </w:t>
      </w:r>
      <w:r w:rsidR="00EB0E58">
        <w:t xml:space="preserve">CPP </w:t>
      </w:r>
      <w:r w:rsidR="002142D4" w:rsidRPr="00AE1524">
        <w:rPr>
          <w:i/>
        </w:rPr>
        <w:t>Ex-</w:t>
      </w:r>
      <w:r w:rsidR="0023738E">
        <w:rPr>
          <w:i/>
        </w:rPr>
        <w:t>P</w:t>
      </w:r>
      <w:r w:rsidR="002142D4" w:rsidRPr="00AE1524">
        <w:rPr>
          <w:i/>
        </w:rPr>
        <w:t>ost</w:t>
      </w:r>
      <w:r w:rsidR="002142D4">
        <w:t xml:space="preserve"> </w:t>
      </w:r>
      <w:r w:rsidR="006B47C4">
        <w:t>L</w:t>
      </w:r>
      <w:r w:rsidR="002142D4">
        <w:t xml:space="preserve">oad </w:t>
      </w:r>
      <w:r w:rsidR="006B47C4">
        <w:t>I</w:t>
      </w:r>
      <w:r w:rsidR="002142D4">
        <w:t xml:space="preserve">mpact </w:t>
      </w:r>
      <w:r w:rsidRPr="00146E50">
        <w:t>Study Findings</w:t>
      </w:r>
      <w:bookmarkEnd w:id="69"/>
    </w:p>
    <w:p w14:paraId="5775E63E" w14:textId="694172C2" w:rsidR="00C27DA2" w:rsidRPr="00EB0E58" w:rsidRDefault="006B47C4" w:rsidP="00095AB1">
      <w:pPr>
        <w:spacing w:after="120"/>
      </w:pPr>
      <w:r>
        <w:t xml:space="preserve">This section documents the findings from the </w:t>
      </w:r>
      <w:r w:rsidRPr="00955C52">
        <w:rPr>
          <w:i/>
        </w:rPr>
        <w:t>ex-post</w:t>
      </w:r>
      <w:r>
        <w:t xml:space="preserve"> load impact evaluation analys</w:t>
      </w:r>
      <w:r w:rsidR="00EB0E58">
        <w:t>i</w:t>
      </w:r>
      <w:r>
        <w:t xml:space="preserve">s </w:t>
      </w:r>
      <w:r w:rsidR="008C3673">
        <w:t xml:space="preserve">of the CPP </w:t>
      </w:r>
      <w:r w:rsidR="00EB0E58">
        <w:t xml:space="preserve">portion of the TOU-DR-P </w:t>
      </w:r>
      <w:r w:rsidR="008C3673">
        <w:t>rate</w:t>
      </w:r>
      <w:r>
        <w:t xml:space="preserve">. </w:t>
      </w:r>
      <w:r w:rsidR="008C3673">
        <w:t>For CPP, t</w:t>
      </w:r>
      <w:r>
        <w:t xml:space="preserve">he primary load impact results include </w:t>
      </w:r>
      <w:r w:rsidR="00D2108A">
        <w:t xml:space="preserve">average </w:t>
      </w:r>
      <w:r>
        <w:t xml:space="preserve">estimated </w:t>
      </w:r>
      <w:r w:rsidR="00D2108A">
        <w:t xml:space="preserve">event-hour </w:t>
      </w:r>
      <w:r>
        <w:t>load impacts</w:t>
      </w:r>
      <w:r w:rsidR="00DD58F6">
        <w:t xml:space="preserve"> (</w:t>
      </w:r>
      <w:r w:rsidR="00DD58F6">
        <w:rPr>
          <w:i/>
        </w:rPr>
        <w:t>i.e.</w:t>
      </w:r>
      <w:r w:rsidR="00DD58F6">
        <w:t xml:space="preserve">, the average of the hourly load impacts estimated for the </w:t>
      </w:r>
      <w:r w:rsidR="008C3673">
        <w:t>seven</w:t>
      </w:r>
      <w:r w:rsidR="00DD58F6">
        <w:t xml:space="preserve">-hour event window from </w:t>
      </w:r>
      <w:r w:rsidR="008C3673">
        <w:t>11 a.</w:t>
      </w:r>
      <w:r w:rsidR="00DD58F6">
        <w:t xml:space="preserve">m. to </w:t>
      </w:r>
      <w:r w:rsidR="008C3673">
        <w:t>6</w:t>
      </w:r>
      <w:r w:rsidR="00DD58F6">
        <w:t xml:space="preserve"> p.m.)</w:t>
      </w:r>
      <w:r w:rsidR="00D2108A">
        <w:t>, in aggregate and per-customer,</w:t>
      </w:r>
      <w:r>
        <w:t xml:space="preserve"> </w:t>
      </w:r>
      <w:r w:rsidR="00D2108A">
        <w:t xml:space="preserve">for </w:t>
      </w:r>
      <w:r w:rsidR="005C0ADF">
        <w:t xml:space="preserve">each </w:t>
      </w:r>
      <w:r>
        <w:t>event day</w:t>
      </w:r>
      <w:r w:rsidR="00D2108A">
        <w:t xml:space="preserve">. </w:t>
      </w:r>
      <w:r w:rsidR="00EB0E58">
        <w:t>Results of the analysis of the TOU portion of the rate (</w:t>
      </w:r>
      <w:r w:rsidR="00EB0E58">
        <w:rPr>
          <w:i/>
        </w:rPr>
        <w:t>i.e.,</w:t>
      </w:r>
      <w:r w:rsidR="00EB0E58">
        <w:t xml:space="preserve"> peak load impacts on non-event days) are presented in Section 5, along with results for the TOU</w:t>
      </w:r>
      <w:r w:rsidR="00D35F3A">
        <w:t>-DR</w:t>
      </w:r>
      <w:r w:rsidR="00EB0E58">
        <w:t xml:space="preserve"> rate.</w:t>
      </w:r>
    </w:p>
    <w:p w14:paraId="0C812FEC" w14:textId="644A55BC" w:rsidR="00CE7FA4" w:rsidRDefault="00D2108A" w:rsidP="00095AB1">
      <w:pPr>
        <w:spacing w:after="120"/>
      </w:pPr>
      <w:r w:rsidRPr="00822514">
        <w:t xml:space="preserve">Results for all hours are also illustrated in figures. </w:t>
      </w:r>
      <w:r w:rsidR="00C27DA2" w:rsidRPr="00822514">
        <w:t xml:space="preserve">Detailed </w:t>
      </w:r>
      <w:r w:rsidR="006B47C4" w:rsidRPr="00822514">
        <w:t xml:space="preserve">results </w:t>
      </w:r>
      <w:r w:rsidR="00822514" w:rsidRPr="00822514">
        <w:t xml:space="preserve">for each hour </w:t>
      </w:r>
      <w:r w:rsidRPr="00822514">
        <w:t xml:space="preserve">in </w:t>
      </w:r>
      <w:r w:rsidR="006B47C4" w:rsidRPr="00822514">
        <w:t xml:space="preserve">electronic form </w:t>
      </w:r>
      <w:r w:rsidR="00F47BEF" w:rsidRPr="00822514">
        <w:t xml:space="preserve">may be found </w:t>
      </w:r>
      <w:r w:rsidR="006B47C4" w:rsidRPr="00822514">
        <w:t xml:space="preserve">in Protocol table generators </w:t>
      </w:r>
      <w:r w:rsidR="00F47BEF" w:rsidRPr="00822514">
        <w:t xml:space="preserve">provided </w:t>
      </w:r>
      <w:r w:rsidR="006B47C4" w:rsidRPr="00822514">
        <w:t xml:space="preserve">along with this report. </w:t>
      </w:r>
      <w:r w:rsidR="00CE7FA4" w:rsidRPr="00822514">
        <w:t xml:space="preserve">As described in Section 3, all of the above results were </w:t>
      </w:r>
      <w:r w:rsidR="00090F29">
        <w:t xml:space="preserve">estimated using </w:t>
      </w:r>
      <w:r w:rsidR="00CE7FA4" w:rsidRPr="00822514">
        <w:t>fixed-</w:t>
      </w:r>
      <w:r w:rsidR="00CE7FA4" w:rsidRPr="00822514">
        <w:lastRenderedPageBreak/>
        <w:t xml:space="preserve">effects regression analysis </w:t>
      </w:r>
      <w:r w:rsidR="00090F29">
        <w:t>of</w:t>
      </w:r>
      <w:r w:rsidR="00CE7FA4" w:rsidRPr="00822514">
        <w:t xml:space="preserve"> hourly data for treatment and matched control group customers.</w:t>
      </w:r>
      <w:r w:rsidR="00CE7FA4">
        <w:t xml:space="preserve">  </w:t>
      </w:r>
    </w:p>
    <w:p w14:paraId="22D288D0" w14:textId="32FD4D48" w:rsidR="00803376" w:rsidRDefault="00803376" w:rsidP="00095AB1">
      <w:pPr>
        <w:pStyle w:val="Heading2"/>
        <w:spacing w:after="120"/>
      </w:pPr>
      <w:bookmarkStart w:id="70" w:name="_Toc509576756"/>
      <w:r>
        <w:t>4.</w:t>
      </w:r>
      <w:r w:rsidR="000466CE">
        <w:t>1</w:t>
      </w:r>
      <w:r>
        <w:t xml:space="preserve"> </w:t>
      </w:r>
      <w:r w:rsidR="007152F2">
        <w:t>Control group matching results</w:t>
      </w:r>
      <w:bookmarkEnd w:id="70"/>
    </w:p>
    <w:p w14:paraId="5AFB8BEC" w14:textId="2FD66FDB" w:rsidR="007152F2" w:rsidRDefault="007152F2" w:rsidP="00095AB1">
      <w:pPr>
        <w:spacing w:after="120"/>
      </w:pPr>
      <w:r>
        <w:t xml:space="preserve">Figures 4.1 and 4.2 illustrate the quality of the matches for </w:t>
      </w:r>
      <w:r w:rsidR="00E17290">
        <w:t xml:space="preserve">the </w:t>
      </w:r>
      <w:r w:rsidR="005E5D58">
        <w:t>CPP</w:t>
      </w:r>
      <w:r>
        <w:t xml:space="preserve"> </w:t>
      </w:r>
      <w:r w:rsidR="00E17290">
        <w:t xml:space="preserve">(TOU-DR-P) </w:t>
      </w:r>
      <w:r>
        <w:t>customers</w:t>
      </w:r>
      <w:r w:rsidR="00985A7E">
        <w:t xml:space="preserve"> in the context of estimating load impacts on the CPP event day</w:t>
      </w:r>
      <w:r>
        <w:t xml:space="preserve">. The figures show the average CPP and matched control-group customer load profiles for </w:t>
      </w:r>
      <w:r w:rsidR="00985A7E">
        <w:t>the selected e</w:t>
      </w:r>
      <w:r w:rsidR="000D0F89">
        <w:t>vent-like non-event days</w:t>
      </w:r>
      <w:r w:rsidR="00985A7E">
        <w:t xml:space="preserve">. </w:t>
      </w:r>
      <w:r w:rsidR="00090F29">
        <w:t>Across all 24 hours, t</w:t>
      </w:r>
      <w:r>
        <w:t xml:space="preserve">he mean percentage error (MPE) of the </w:t>
      </w:r>
      <w:r w:rsidR="00E17290">
        <w:t xml:space="preserve">CPP profile </w:t>
      </w:r>
      <w:r>
        <w:t xml:space="preserve">compared to the </w:t>
      </w:r>
      <w:r w:rsidR="00E17290">
        <w:t xml:space="preserve">control-group profile </w:t>
      </w:r>
      <w:r>
        <w:t xml:space="preserve">is </w:t>
      </w:r>
      <w:r w:rsidR="00FB3F61">
        <w:t>2.4</w:t>
      </w:r>
      <w:r w:rsidR="00237521">
        <w:t xml:space="preserve"> </w:t>
      </w:r>
      <w:r>
        <w:t>percent</w:t>
      </w:r>
      <w:r w:rsidR="00FB3F61">
        <w:t xml:space="preserve"> on weekdays and 1.3 percent on weekends</w:t>
      </w:r>
      <w:r w:rsidR="00E17290">
        <w:t>, while t</w:t>
      </w:r>
      <w:r>
        <w:t xml:space="preserve">he mean absolute percentage error (MAPE) is </w:t>
      </w:r>
      <w:r w:rsidR="001C67D1">
        <w:t>2.</w:t>
      </w:r>
      <w:r w:rsidR="00FB3F61">
        <w:t>4</w:t>
      </w:r>
      <w:r w:rsidR="00253706">
        <w:t xml:space="preserve"> </w:t>
      </w:r>
      <w:r>
        <w:t>percent</w:t>
      </w:r>
      <w:r w:rsidR="00FB3F61">
        <w:t xml:space="preserve"> on weekdays and 2.5 percent on weekends</w:t>
      </w:r>
      <w:r>
        <w:t xml:space="preserve">. </w:t>
      </w:r>
      <w:r w:rsidR="00090F29">
        <w:t xml:space="preserve">For the CPP event window (11 a.m. to 6:00 p.m.), the MPE is </w:t>
      </w:r>
      <w:r w:rsidR="00FB3F61">
        <w:t>1.6</w:t>
      </w:r>
      <w:r w:rsidR="00090F29">
        <w:t xml:space="preserve"> percent </w:t>
      </w:r>
      <w:r w:rsidR="00FB3F61">
        <w:t xml:space="preserve">on weekdays and -1.8 percent on weekends, while </w:t>
      </w:r>
      <w:r w:rsidR="00090F29">
        <w:t xml:space="preserve">the MAPE is </w:t>
      </w:r>
      <w:r w:rsidR="00FB3F61">
        <w:t>1.6</w:t>
      </w:r>
      <w:r w:rsidR="00090F29">
        <w:t xml:space="preserve"> percent</w:t>
      </w:r>
      <w:r w:rsidR="00237521">
        <w:t xml:space="preserve"> on weekdays and 1.8 percent</w:t>
      </w:r>
      <w:r w:rsidR="00FB3F61">
        <w:t xml:space="preserve"> on weekends</w:t>
      </w:r>
      <w:r w:rsidR="00090F29">
        <w:t>.</w:t>
      </w:r>
    </w:p>
    <w:p w14:paraId="294D0465" w14:textId="3F0177C5" w:rsidR="00A5205D" w:rsidRDefault="007152F2" w:rsidP="00237521">
      <w:pPr>
        <w:pStyle w:val="FigureCaption"/>
        <w:keepNext/>
        <w:keepLines/>
      </w:pPr>
      <w:bookmarkStart w:id="71" w:name="_Toc509576814"/>
      <w:r w:rsidRPr="003E1BF8">
        <w:t xml:space="preserve">Figure 4.1: </w:t>
      </w:r>
      <w:r w:rsidR="005E5D58" w:rsidRPr="003E1BF8">
        <w:t>CPP</w:t>
      </w:r>
      <w:r w:rsidRPr="003E1BF8">
        <w:t xml:space="preserve"> and </w:t>
      </w:r>
      <w:r w:rsidR="0026102E">
        <w:t xml:space="preserve">Matched </w:t>
      </w:r>
      <w:r w:rsidRPr="003E1BF8">
        <w:t xml:space="preserve">Control Group Load Profiles – </w:t>
      </w:r>
      <w:r w:rsidR="00701C8B">
        <w:rPr>
          <w:i/>
        </w:rPr>
        <w:t>Average Event-L</w:t>
      </w:r>
      <w:r w:rsidR="00CE6C9D" w:rsidRPr="003E1BF8">
        <w:rPr>
          <w:i/>
        </w:rPr>
        <w:t>ike Day</w:t>
      </w:r>
      <w:bookmarkEnd w:id="71"/>
    </w:p>
    <w:p w14:paraId="133FBE07" w14:textId="055C3B48" w:rsidR="007152F2" w:rsidRDefault="00FB3F61" w:rsidP="002416BF">
      <w:pPr>
        <w:spacing w:after="120"/>
        <w:jc w:val="center"/>
      </w:pPr>
      <w:r>
        <w:rPr>
          <w:noProof/>
        </w:rPr>
        <w:drawing>
          <wp:inline distT="0" distB="0" distL="0" distR="0" wp14:anchorId="744EC78D" wp14:editId="78CB05BC">
            <wp:extent cx="5029835" cy="32004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029835" cy="3200400"/>
                    </a:xfrm>
                    <a:prstGeom prst="rect">
                      <a:avLst/>
                    </a:prstGeom>
                    <a:noFill/>
                  </pic:spPr>
                </pic:pic>
              </a:graphicData>
            </a:graphic>
          </wp:inline>
        </w:drawing>
      </w:r>
    </w:p>
    <w:p w14:paraId="4E5E0269" w14:textId="46231485" w:rsidR="007152F2" w:rsidRDefault="007152F2" w:rsidP="00095AB1">
      <w:pPr>
        <w:pStyle w:val="Heading2"/>
        <w:spacing w:after="120"/>
      </w:pPr>
      <w:bookmarkStart w:id="72" w:name="_Toc509576757"/>
      <w:r>
        <w:t>4.2 CPP load impacts</w:t>
      </w:r>
      <w:bookmarkEnd w:id="72"/>
      <w:r>
        <w:t xml:space="preserve"> </w:t>
      </w:r>
    </w:p>
    <w:p w14:paraId="507CD0CA" w14:textId="73A2EFBE" w:rsidR="00323333" w:rsidRDefault="009F6CB5" w:rsidP="00095AB1">
      <w:pPr>
        <w:spacing w:after="120"/>
      </w:pPr>
      <w:r>
        <w:t>This section summarizes average event-hour reference loads</w:t>
      </w:r>
      <w:r w:rsidR="00C27DA2">
        <w:rPr>
          <w:rStyle w:val="FootnoteReference"/>
        </w:rPr>
        <w:footnoteReference w:id="12"/>
      </w:r>
      <w:r>
        <w:t xml:space="preserve"> and load impacts, at an aggregate and per-customer basis, for </w:t>
      </w:r>
      <w:r w:rsidR="00E5785C">
        <w:t xml:space="preserve">the </w:t>
      </w:r>
      <w:r w:rsidR="00A5205D">
        <w:t xml:space="preserve">three 2017 </w:t>
      </w:r>
      <w:r w:rsidR="00E5785C">
        <w:t>CPP</w:t>
      </w:r>
      <w:r>
        <w:t xml:space="preserve"> event</w:t>
      </w:r>
      <w:r w:rsidR="00A5205D">
        <w:t>s</w:t>
      </w:r>
      <w:r>
        <w:t xml:space="preserve"> </w:t>
      </w:r>
      <w:r w:rsidR="00E5785C">
        <w:t xml:space="preserve">called </w:t>
      </w:r>
      <w:r w:rsidR="00E2760D">
        <w:t xml:space="preserve">on </w:t>
      </w:r>
      <w:r w:rsidR="00A5205D">
        <w:t xml:space="preserve">August 31, </w:t>
      </w:r>
      <w:r w:rsidR="00A5205D">
        <w:lastRenderedPageBreak/>
        <w:t>September 1, and September 2</w:t>
      </w:r>
      <w:r w:rsidR="00160300">
        <w:t>, which was a Saturday</w:t>
      </w:r>
      <w:r>
        <w:t xml:space="preserve">. Results for the </w:t>
      </w:r>
      <w:r w:rsidR="0050472E">
        <w:t>average weekday event</w:t>
      </w:r>
      <w:r>
        <w:t xml:space="preserve"> are also </w:t>
      </w:r>
      <w:r w:rsidR="00E924A0">
        <w:t>reported</w:t>
      </w:r>
      <w:r>
        <w:t xml:space="preserve">. </w:t>
      </w:r>
    </w:p>
    <w:p w14:paraId="0EFD6C4C" w14:textId="44ECF913" w:rsidR="000466CE" w:rsidRDefault="009F6CB5" w:rsidP="00095AB1">
      <w:pPr>
        <w:spacing w:after="120"/>
      </w:pPr>
      <w:r>
        <w:t>Table 4.1 summarizes reference load and</w:t>
      </w:r>
      <w:r w:rsidR="00CD35DB">
        <w:t xml:space="preserve"> CPP</w:t>
      </w:r>
      <w:r>
        <w:t xml:space="preserve"> load impact results for </w:t>
      </w:r>
      <w:r w:rsidR="00E5785C">
        <w:t xml:space="preserve">CPP </w:t>
      </w:r>
      <w:r>
        <w:t>customers</w:t>
      </w:r>
      <w:r w:rsidR="00E5785C">
        <w:t>, by climate zone</w:t>
      </w:r>
      <w:r>
        <w:t xml:space="preserve">. The first </w:t>
      </w:r>
      <w:r w:rsidR="00547753">
        <w:t xml:space="preserve">three </w:t>
      </w:r>
      <w:r>
        <w:t xml:space="preserve">columns show </w:t>
      </w:r>
      <w:r w:rsidR="00E5785C">
        <w:t xml:space="preserve">the </w:t>
      </w:r>
      <w:r w:rsidR="007A02B6">
        <w:t>climate zone</w:t>
      </w:r>
      <w:r w:rsidR="00547753">
        <w:t>, event date,</w:t>
      </w:r>
      <w:r w:rsidR="007A02B6">
        <w:t xml:space="preserve"> </w:t>
      </w:r>
      <w:r>
        <w:t>and numbers of enrolled</w:t>
      </w:r>
      <w:r w:rsidR="00E5785C" w:rsidRPr="00E5785C">
        <w:t xml:space="preserve"> </w:t>
      </w:r>
      <w:r w:rsidR="00E5785C">
        <w:t>customers</w:t>
      </w:r>
      <w:r>
        <w:t xml:space="preserve">. The next two columns show aggregate estimated reference loads and load impacts </w:t>
      </w:r>
      <w:r w:rsidR="00E5785C">
        <w:t xml:space="preserve">for the average event hour, </w:t>
      </w:r>
      <w:r>
        <w:t>in MW</w:t>
      </w:r>
      <w:r w:rsidR="003C41E9">
        <w:t>h/h</w:t>
      </w:r>
      <w:r>
        <w:t>. The next two columns show the same variables for the average customer, in units of kW</w:t>
      </w:r>
      <w:r w:rsidR="00547753">
        <w:t>h/h</w:t>
      </w:r>
      <w:r>
        <w:t xml:space="preserve">. The last two columns show the load impacts as a percentage of the reference loads and the average temperature during the event window. </w:t>
      </w:r>
    </w:p>
    <w:p w14:paraId="4E8AF224" w14:textId="09175D26" w:rsidR="00CD7CF9" w:rsidRDefault="00D2108A" w:rsidP="005A50F8">
      <w:pPr>
        <w:pStyle w:val="TableCaption"/>
        <w:keepNext/>
        <w:rPr>
          <w:i/>
        </w:rPr>
      </w:pPr>
      <w:bookmarkStart w:id="73" w:name="_Toc509576792"/>
      <w:r>
        <w:t xml:space="preserve">Table 4.1: Average </w:t>
      </w:r>
      <w:r w:rsidR="00E5785C">
        <w:t xml:space="preserve">CPP </w:t>
      </w:r>
      <w:r>
        <w:t>Event-Hour Load Impacts</w:t>
      </w:r>
      <w:bookmarkEnd w:id="73"/>
    </w:p>
    <w:tbl>
      <w:tblPr>
        <w:tblW w:w="9910" w:type="dxa"/>
        <w:jc w:val="center"/>
        <w:tblLook w:val="04A0" w:firstRow="1" w:lastRow="0" w:firstColumn="1" w:lastColumn="0" w:noHBand="0" w:noVBand="1"/>
      </w:tblPr>
      <w:tblGrid>
        <w:gridCol w:w="916"/>
        <w:gridCol w:w="2520"/>
        <w:gridCol w:w="985"/>
        <w:gridCol w:w="1076"/>
        <w:gridCol w:w="1076"/>
        <w:gridCol w:w="989"/>
        <w:gridCol w:w="989"/>
        <w:gridCol w:w="960"/>
        <w:gridCol w:w="960"/>
      </w:tblGrid>
      <w:tr w:rsidR="005A50F8" w:rsidRPr="005A50F8" w14:paraId="588282EC" w14:textId="77777777" w:rsidTr="002C1FA8">
        <w:trPr>
          <w:trHeight w:val="20"/>
          <w:jc w:val="center"/>
        </w:trPr>
        <w:tc>
          <w:tcPr>
            <w:tcW w:w="355" w:type="dxa"/>
            <w:tcBorders>
              <w:top w:val="single" w:sz="4" w:space="0" w:color="auto"/>
              <w:left w:val="single" w:sz="4" w:space="0" w:color="auto"/>
              <w:bottom w:val="nil"/>
              <w:right w:val="single" w:sz="4" w:space="0" w:color="FFFFFF" w:themeColor="background1"/>
            </w:tcBorders>
            <w:shd w:val="clear" w:color="000000" w:fill="132577"/>
            <w:noWrap/>
            <w:vAlign w:val="center"/>
            <w:hideMark/>
          </w:tcPr>
          <w:p w14:paraId="6FE3E0BE" w14:textId="77777777" w:rsidR="005A50F8" w:rsidRPr="005A50F8" w:rsidRDefault="005A50F8" w:rsidP="005A50F8">
            <w:pPr>
              <w:keepNext/>
              <w:rPr>
                <w:rFonts w:cs="Calibri"/>
                <w:color w:val="FFFFFF"/>
                <w:sz w:val="22"/>
                <w:szCs w:val="22"/>
              </w:rPr>
            </w:pPr>
            <w:r w:rsidRPr="005A50F8">
              <w:rPr>
                <w:rFonts w:cs="Calibri"/>
                <w:color w:val="FFFFFF"/>
                <w:sz w:val="22"/>
                <w:szCs w:val="22"/>
              </w:rPr>
              <w:t> </w:t>
            </w:r>
          </w:p>
        </w:tc>
        <w:tc>
          <w:tcPr>
            <w:tcW w:w="2520" w:type="dxa"/>
            <w:tcBorders>
              <w:top w:val="single" w:sz="4" w:space="0" w:color="auto"/>
              <w:left w:val="single" w:sz="4" w:space="0" w:color="FFFFFF" w:themeColor="background1"/>
              <w:bottom w:val="nil"/>
              <w:right w:val="nil"/>
            </w:tcBorders>
            <w:shd w:val="clear" w:color="000000" w:fill="132577"/>
            <w:noWrap/>
            <w:vAlign w:val="center"/>
            <w:hideMark/>
          </w:tcPr>
          <w:p w14:paraId="1431CA3E" w14:textId="77777777" w:rsidR="005A50F8" w:rsidRPr="005A50F8" w:rsidRDefault="005A50F8" w:rsidP="005A50F8">
            <w:pPr>
              <w:keepNext/>
              <w:rPr>
                <w:rFonts w:cs="Calibri"/>
                <w:color w:val="FFFFFF"/>
                <w:sz w:val="22"/>
                <w:szCs w:val="22"/>
              </w:rPr>
            </w:pPr>
            <w:r w:rsidRPr="005A50F8">
              <w:rPr>
                <w:rFonts w:cs="Calibri"/>
                <w:color w:val="FFFFFF"/>
                <w:sz w:val="22"/>
                <w:szCs w:val="22"/>
              </w:rPr>
              <w:t> </w:t>
            </w:r>
          </w:p>
        </w:tc>
        <w:tc>
          <w:tcPr>
            <w:tcW w:w="985" w:type="dxa"/>
            <w:tcBorders>
              <w:top w:val="single" w:sz="4" w:space="0" w:color="auto"/>
              <w:left w:val="single" w:sz="4" w:space="0" w:color="FFFFFF"/>
              <w:bottom w:val="nil"/>
              <w:right w:val="nil"/>
            </w:tcBorders>
            <w:shd w:val="clear" w:color="000000" w:fill="132577"/>
            <w:noWrap/>
            <w:vAlign w:val="center"/>
            <w:hideMark/>
          </w:tcPr>
          <w:p w14:paraId="552871AE" w14:textId="77777777" w:rsidR="005A50F8" w:rsidRPr="005A50F8" w:rsidRDefault="005A50F8" w:rsidP="005A50F8">
            <w:pPr>
              <w:keepNext/>
              <w:rPr>
                <w:rFonts w:cs="Calibri"/>
                <w:color w:val="FFFFFF"/>
                <w:sz w:val="22"/>
                <w:szCs w:val="22"/>
              </w:rPr>
            </w:pPr>
            <w:r w:rsidRPr="005A50F8">
              <w:rPr>
                <w:rFonts w:cs="Calibri"/>
                <w:color w:val="FFFFFF"/>
                <w:sz w:val="22"/>
                <w:szCs w:val="22"/>
              </w:rPr>
              <w:t> </w:t>
            </w:r>
          </w:p>
        </w:tc>
        <w:tc>
          <w:tcPr>
            <w:tcW w:w="2152" w:type="dxa"/>
            <w:gridSpan w:val="2"/>
            <w:tcBorders>
              <w:top w:val="single" w:sz="4" w:space="0" w:color="auto"/>
              <w:left w:val="single" w:sz="4" w:space="0" w:color="FFFFFF"/>
              <w:bottom w:val="single" w:sz="4" w:space="0" w:color="FFFFFF"/>
              <w:right w:val="single" w:sz="4" w:space="0" w:color="FFFFFF"/>
            </w:tcBorders>
            <w:shd w:val="clear" w:color="000000" w:fill="132577"/>
            <w:noWrap/>
            <w:vAlign w:val="center"/>
            <w:hideMark/>
          </w:tcPr>
          <w:p w14:paraId="0B9E1328" w14:textId="77777777" w:rsidR="005A50F8" w:rsidRPr="005A50F8" w:rsidRDefault="005A50F8" w:rsidP="005A50F8">
            <w:pPr>
              <w:keepNext/>
              <w:jc w:val="center"/>
              <w:rPr>
                <w:rFonts w:cs="Calibri"/>
                <w:b/>
                <w:bCs/>
                <w:color w:val="FFFFFF"/>
                <w:sz w:val="22"/>
                <w:szCs w:val="22"/>
              </w:rPr>
            </w:pPr>
            <w:r w:rsidRPr="005A50F8">
              <w:rPr>
                <w:rFonts w:cs="Calibri"/>
                <w:b/>
                <w:bCs/>
                <w:color w:val="FFFFFF"/>
                <w:sz w:val="22"/>
                <w:szCs w:val="22"/>
              </w:rPr>
              <w:t>Aggregate</w:t>
            </w:r>
          </w:p>
        </w:tc>
        <w:tc>
          <w:tcPr>
            <w:tcW w:w="1978" w:type="dxa"/>
            <w:gridSpan w:val="2"/>
            <w:tcBorders>
              <w:top w:val="single" w:sz="4" w:space="0" w:color="auto"/>
              <w:left w:val="nil"/>
              <w:bottom w:val="single" w:sz="4" w:space="0" w:color="FFFFFF"/>
              <w:right w:val="single" w:sz="4" w:space="0" w:color="FFFFFF"/>
            </w:tcBorders>
            <w:shd w:val="clear" w:color="000000" w:fill="132577"/>
            <w:noWrap/>
            <w:vAlign w:val="center"/>
            <w:hideMark/>
          </w:tcPr>
          <w:p w14:paraId="4A518B12" w14:textId="77777777" w:rsidR="005A50F8" w:rsidRPr="005A50F8" w:rsidRDefault="005A50F8" w:rsidP="005A50F8">
            <w:pPr>
              <w:keepNext/>
              <w:jc w:val="center"/>
              <w:rPr>
                <w:rFonts w:cs="Calibri"/>
                <w:b/>
                <w:bCs/>
                <w:color w:val="FFFFFF"/>
                <w:sz w:val="22"/>
                <w:szCs w:val="22"/>
              </w:rPr>
            </w:pPr>
            <w:r w:rsidRPr="005A50F8">
              <w:rPr>
                <w:rFonts w:cs="Calibri"/>
                <w:b/>
                <w:bCs/>
                <w:color w:val="FFFFFF"/>
                <w:sz w:val="22"/>
                <w:szCs w:val="22"/>
              </w:rPr>
              <w:t>Per-Customer</w:t>
            </w:r>
          </w:p>
        </w:tc>
        <w:tc>
          <w:tcPr>
            <w:tcW w:w="960" w:type="dxa"/>
            <w:tcBorders>
              <w:top w:val="single" w:sz="4" w:space="0" w:color="auto"/>
              <w:left w:val="nil"/>
              <w:bottom w:val="nil"/>
              <w:right w:val="single" w:sz="4" w:space="0" w:color="FFFFFF"/>
            </w:tcBorders>
            <w:shd w:val="clear" w:color="000000" w:fill="132577"/>
            <w:noWrap/>
            <w:vAlign w:val="center"/>
            <w:hideMark/>
          </w:tcPr>
          <w:p w14:paraId="35510B74" w14:textId="77777777" w:rsidR="005A50F8" w:rsidRPr="005A50F8" w:rsidRDefault="005A50F8" w:rsidP="005A50F8">
            <w:pPr>
              <w:keepNext/>
              <w:rPr>
                <w:rFonts w:cs="Calibri"/>
                <w:color w:val="FFFFFF"/>
                <w:sz w:val="22"/>
                <w:szCs w:val="22"/>
              </w:rPr>
            </w:pPr>
            <w:r w:rsidRPr="005A50F8">
              <w:rPr>
                <w:rFonts w:cs="Calibri"/>
                <w:color w:val="FFFFFF"/>
                <w:sz w:val="22"/>
                <w:szCs w:val="22"/>
              </w:rPr>
              <w:t> </w:t>
            </w:r>
          </w:p>
        </w:tc>
        <w:tc>
          <w:tcPr>
            <w:tcW w:w="960" w:type="dxa"/>
            <w:tcBorders>
              <w:top w:val="single" w:sz="4" w:space="0" w:color="auto"/>
              <w:left w:val="nil"/>
              <w:bottom w:val="nil"/>
              <w:right w:val="single" w:sz="4" w:space="0" w:color="auto"/>
            </w:tcBorders>
            <w:shd w:val="clear" w:color="000000" w:fill="132577"/>
            <w:noWrap/>
            <w:vAlign w:val="center"/>
            <w:hideMark/>
          </w:tcPr>
          <w:p w14:paraId="013139C9" w14:textId="77777777" w:rsidR="005A50F8" w:rsidRPr="005A50F8" w:rsidRDefault="005A50F8" w:rsidP="005A50F8">
            <w:pPr>
              <w:keepNext/>
              <w:rPr>
                <w:rFonts w:cs="Calibri"/>
                <w:color w:val="FFFFFF"/>
                <w:sz w:val="22"/>
                <w:szCs w:val="22"/>
              </w:rPr>
            </w:pPr>
            <w:r w:rsidRPr="005A50F8">
              <w:rPr>
                <w:rFonts w:cs="Calibri"/>
                <w:color w:val="FFFFFF"/>
                <w:sz w:val="22"/>
                <w:szCs w:val="22"/>
              </w:rPr>
              <w:t> </w:t>
            </w:r>
          </w:p>
        </w:tc>
      </w:tr>
      <w:tr w:rsidR="005A50F8" w:rsidRPr="005A50F8" w14:paraId="057B8CC6" w14:textId="77777777" w:rsidTr="002C1FA8">
        <w:trPr>
          <w:trHeight w:val="20"/>
          <w:jc w:val="center"/>
        </w:trPr>
        <w:tc>
          <w:tcPr>
            <w:tcW w:w="355" w:type="dxa"/>
            <w:tcBorders>
              <w:top w:val="nil"/>
              <w:left w:val="single" w:sz="4" w:space="0" w:color="auto"/>
              <w:bottom w:val="single" w:sz="4" w:space="0" w:color="auto"/>
              <w:right w:val="single" w:sz="4" w:space="0" w:color="FFFFFF" w:themeColor="background1"/>
            </w:tcBorders>
            <w:shd w:val="clear" w:color="auto" w:fill="0C2577"/>
            <w:vAlign w:val="center"/>
            <w:hideMark/>
          </w:tcPr>
          <w:p w14:paraId="21E58CB3" w14:textId="77777777" w:rsidR="005A50F8" w:rsidRPr="005A50F8" w:rsidRDefault="005A50F8" w:rsidP="005A50F8">
            <w:pPr>
              <w:keepNext/>
              <w:jc w:val="center"/>
              <w:rPr>
                <w:rFonts w:cs="Calibri"/>
                <w:b/>
                <w:bCs/>
                <w:color w:val="FFFFFF"/>
                <w:sz w:val="22"/>
                <w:szCs w:val="22"/>
              </w:rPr>
            </w:pPr>
            <w:r w:rsidRPr="005A50F8">
              <w:rPr>
                <w:rFonts w:cs="Calibri"/>
                <w:b/>
                <w:bCs/>
                <w:color w:val="FFFFFF"/>
                <w:sz w:val="22"/>
                <w:szCs w:val="22"/>
              </w:rPr>
              <w:t>Climate Zone</w:t>
            </w:r>
          </w:p>
        </w:tc>
        <w:tc>
          <w:tcPr>
            <w:tcW w:w="2520" w:type="dxa"/>
            <w:tcBorders>
              <w:top w:val="nil"/>
              <w:left w:val="single" w:sz="4" w:space="0" w:color="FFFFFF" w:themeColor="background1"/>
              <w:bottom w:val="single" w:sz="4" w:space="0" w:color="auto"/>
              <w:right w:val="nil"/>
            </w:tcBorders>
            <w:shd w:val="clear" w:color="auto" w:fill="0C2577"/>
            <w:vAlign w:val="center"/>
            <w:hideMark/>
          </w:tcPr>
          <w:p w14:paraId="7E5382B8" w14:textId="77777777" w:rsidR="005A50F8" w:rsidRPr="005A50F8" w:rsidRDefault="005A50F8" w:rsidP="005A50F8">
            <w:pPr>
              <w:keepNext/>
              <w:jc w:val="center"/>
              <w:rPr>
                <w:rFonts w:cs="Calibri"/>
                <w:b/>
                <w:bCs/>
                <w:color w:val="FFFFFF"/>
                <w:sz w:val="22"/>
                <w:szCs w:val="22"/>
              </w:rPr>
            </w:pPr>
            <w:r w:rsidRPr="005A50F8">
              <w:rPr>
                <w:rFonts w:cs="Calibri"/>
                <w:b/>
                <w:bCs/>
                <w:color w:val="FFFFFF"/>
                <w:sz w:val="22"/>
                <w:szCs w:val="22"/>
              </w:rPr>
              <w:t>Date</w:t>
            </w:r>
          </w:p>
        </w:tc>
        <w:tc>
          <w:tcPr>
            <w:tcW w:w="985" w:type="dxa"/>
            <w:tcBorders>
              <w:top w:val="nil"/>
              <w:left w:val="single" w:sz="4" w:space="0" w:color="FFFFFF"/>
              <w:bottom w:val="single" w:sz="4" w:space="0" w:color="auto"/>
              <w:right w:val="single" w:sz="4" w:space="0" w:color="FFFFFF"/>
            </w:tcBorders>
            <w:shd w:val="clear" w:color="auto" w:fill="0C2577"/>
            <w:vAlign w:val="center"/>
            <w:hideMark/>
          </w:tcPr>
          <w:p w14:paraId="64CAC8EC" w14:textId="77777777" w:rsidR="005A50F8" w:rsidRPr="005A50F8" w:rsidRDefault="005A50F8" w:rsidP="005A50F8">
            <w:pPr>
              <w:keepNext/>
              <w:jc w:val="center"/>
              <w:rPr>
                <w:rFonts w:cs="Calibri"/>
                <w:b/>
                <w:bCs/>
                <w:color w:val="FFFFFF"/>
                <w:sz w:val="22"/>
                <w:szCs w:val="22"/>
              </w:rPr>
            </w:pPr>
            <w:r w:rsidRPr="005A50F8">
              <w:rPr>
                <w:rFonts w:cs="Calibri"/>
                <w:b/>
                <w:bCs/>
                <w:color w:val="FFFFFF"/>
                <w:sz w:val="22"/>
                <w:szCs w:val="22"/>
              </w:rPr>
              <w:t>Enrolled</w:t>
            </w:r>
          </w:p>
        </w:tc>
        <w:tc>
          <w:tcPr>
            <w:tcW w:w="1076" w:type="dxa"/>
            <w:tcBorders>
              <w:top w:val="nil"/>
              <w:left w:val="nil"/>
              <w:bottom w:val="single" w:sz="4" w:space="0" w:color="auto"/>
              <w:right w:val="nil"/>
            </w:tcBorders>
            <w:shd w:val="clear" w:color="auto" w:fill="0C2577"/>
            <w:vAlign w:val="bottom"/>
            <w:hideMark/>
          </w:tcPr>
          <w:p w14:paraId="528AFE25" w14:textId="77777777" w:rsidR="005A50F8" w:rsidRPr="005A50F8" w:rsidRDefault="005A50F8" w:rsidP="005A50F8">
            <w:pPr>
              <w:keepNext/>
              <w:jc w:val="center"/>
              <w:rPr>
                <w:rFonts w:cs="Calibri"/>
                <w:b/>
                <w:bCs/>
                <w:color w:val="FFFFFF"/>
                <w:sz w:val="22"/>
                <w:szCs w:val="22"/>
              </w:rPr>
            </w:pPr>
            <w:r w:rsidRPr="005A50F8">
              <w:rPr>
                <w:rFonts w:cs="Calibri"/>
                <w:b/>
                <w:bCs/>
                <w:color w:val="FFFFFF"/>
                <w:sz w:val="22"/>
                <w:szCs w:val="22"/>
              </w:rPr>
              <w:t>Ref. Load (MWh/h)</w:t>
            </w:r>
          </w:p>
        </w:tc>
        <w:tc>
          <w:tcPr>
            <w:tcW w:w="1076" w:type="dxa"/>
            <w:tcBorders>
              <w:top w:val="nil"/>
              <w:left w:val="single" w:sz="4" w:space="0" w:color="FFFFFF"/>
              <w:bottom w:val="single" w:sz="4" w:space="0" w:color="auto"/>
              <w:right w:val="single" w:sz="4" w:space="0" w:color="FFFFFF"/>
            </w:tcBorders>
            <w:shd w:val="clear" w:color="auto" w:fill="0C2577"/>
            <w:vAlign w:val="center"/>
            <w:hideMark/>
          </w:tcPr>
          <w:p w14:paraId="3944A74F" w14:textId="77777777" w:rsidR="005A50F8" w:rsidRPr="005A50F8" w:rsidRDefault="005A50F8" w:rsidP="005A50F8">
            <w:pPr>
              <w:keepNext/>
              <w:jc w:val="center"/>
              <w:rPr>
                <w:rFonts w:cs="Calibri"/>
                <w:b/>
                <w:bCs/>
                <w:color w:val="FFFFFF"/>
                <w:sz w:val="22"/>
                <w:szCs w:val="22"/>
              </w:rPr>
            </w:pPr>
            <w:r w:rsidRPr="005A50F8">
              <w:rPr>
                <w:rFonts w:cs="Calibri"/>
                <w:b/>
                <w:bCs/>
                <w:color w:val="FFFFFF"/>
                <w:sz w:val="22"/>
                <w:szCs w:val="22"/>
              </w:rPr>
              <w:t>Load Impact (MWh/h)</w:t>
            </w:r>
          </w:p>
        </w:tc>
        <w:tc>
          <w:tcPr>
            <w:tcW w:w="989" w:type="dxa"/>
            <w:tcBorders>
              <w:top w:val="nil"/>
              <w:left w:val="nil"/>
              <w:bottom w:val="single" w:sz="4" w:space="0" w:color="auto"/>
              <w:right w:val="nil"/>
            </w:tcBorders>
            <w:shd w:val="clear" w:color="auto" w:fill="0C2577"/>
            <w:vAlign w:val="center"/>
            <w:hideMark/>
          </w:tcPr>
          <w:p w14:paraId="19D361AF" w14:textId="77777777" w:rsidR="005A50F8" w:rsidRPr="005A50F8" w:rsidRDefault="005A50F8" w:rsidP="005A50F8">
            <w:pPr>
              <w:keepNext/>
              <w:jc w:val="center"/>
              <w:rPr>
                <w:rFonts w:cs="Calibri"/>
                <w:b/>
                <w:bCs/>
                <w:color w:val="FFFFFF"/>
                <w:sz w:val="22"/>
                <w:szCs w:val="22"/>
              </w:rPr>
            </w:pPr>
            <w:r w:rsidRPr="005A50F8">
              <w:rPr>
                <w:rFonts w:cs="Calibri"/>
                <w:b/>
                <w:bCs/>
                <w:color w:val="FFFFFF"/>
                <w:sz w:val="22"/>
                <w:szCs w:val="22"/>
              </w:rPr>
              <w:t>Ref. Load (kWh/h)</w:t>
            </w:r>
          </w:p>
        </w:tc>
        <w:tc>
          <w:tcPr>
            <w:tcW w:w="989" w:type="dxa"/>
            <w:tcBorders>
              <w:top w:val="nil"/>
              <w:left w:val="single" w:sz="4" w:space="0" w:color="FFFFFF"/>
              <w:bottom w:val="single" w:sz="4" w:space="0" w:color="auto"/>
              <w:right w:val="nil"/>
            </w:tcBorders>
            <w:shd w:val="clear" w:color="auto" w:fill="0C2577"/>
            <w:vAlign w:val="center"/>
            <w:hideMark/>
          </w:tcPr>
          <w:p w14:paraId="5D574433" w14:textId="77777777" w:rsidR="005A50F8" w:rsidRPr="005A50F8" w:rsidRDefault="005A50F8" w:rsidP="005A50F8">
            <w:pPr>
              <w:keepNext/>
              <w:jc w:val="center"/>
              <w:rPr>
                <w:rFonts w:cs="Calibri"/>
                <w:b/>
                <w:bCs/>
                <w:color w:val="FFFFFF"/>
                <w:sz w:val="22"/>
                <w:szCs w:val="22"/>
              </w:rPr>
            </w:pPr>
            <w:r w:rsidRPr="005A50F8">
              <w:rPr>
                <w:rFonts w:cs="Calibri"/>
                <w:b/>
                <w:bCs/>
                <w:color w:val="FFFFFF"/>
                <w:sz w:val="22"/>
                <w:szCs w:val="22"/>
              </w:rPr>
              <w:t>Load Impact (kWh/h)</w:t>
            </w:r>
          </w:p>
        </w:tc>
        <w:tc>
          <w:tcPr>
            <w:tcW w:w="960" w:type="dxa"/>
            <w:tcBorders>
              <w:top w:val="nil"/>
              <w:left w:val="single" w:sz="4" w:space="0" w:color="FFFFFF"/>
              <w:bottom w:val="single" w:sz="4" w:space="0" w:color="auto"/>
              <w:right w:val="single" w:sz="4" w:space="0" w:color="FFFFFF"/>
            </w:tcBorders>
            <w:shd w:val="clear" w:color="auto" w:fill="0C2577"/>
            <w:vAlign w:val="center"/>
            <w:hideMark/>
          </w:tcPr>
          <w:p w14:paraId="77E03942" w14:textId="77777777" w:rsidR="005A50F8" w:rsidRPr="005A50F8" w:rsidRDefault="005A50F8" w:rsidP="005A50F8">
            <w:pPr>
              <w:keepNext/>
              <w:jc w:val="center"/>
              <w:rPr>
                <w:rFonts w:cs="Calibri"/>
                <w:b/>
                <w:bCs/>
                <w:color w:val="FFFFFF"/>
                <w:sz w:val="22"/>
                <w:szCs w:val="22"/>
              </w:rPr>
            </w:pPr>
            <w:r w:rsidRPr="005A50F8">
              <w:rPr>
                <w:rFonts w:cs="Calibri"/>
                <w:b/>
                <w:bCs/>
                <w:color w:val="FFFFFF"/>
                <w:sz w:val="22"/>
                <w:szCs w:val="22"/>
              </w:rPr>
              <w:t>% Load Impact</w:t>
            </w:r>
          </w:p>
        </w:tc>
        <w:tc>
          <w:tcPr>
            <w:tcW w:w="960" w:type="dxa"/>
            <w:tcBorders>
              <w:top w:val="nil"/>
              <w:left w:val="nil"/>
              <w:bottom w:val="single" w:sz="4" w:space="0" w:color="auto"/>
              <w:right w:val="single" w:sz="4" w:space="0" w:color="auto"/>
            </w:tcBorders>
            <w:shd w:val="clear" w:color="auto" w:fill="0C2577"/>
            <w:vAlign w:val="center"/>
            <w:hideMark/>
          </w:tcPr>
          <w:p w14:paraId="700185EB" w14:textId="77777777" w:rsidR="005A50F8" w:rsidRPr="005A50F8" w:rsidRDefault="005A50F8" w:rsidP="005A50F8">
            <w:pPr>
              <w:keepNext/>
              <w:jc w:val="center"/>
              <w:rPr>
                <w:rFonts w:cs="Calibri"/>
                <w:b/>
                <w:bCs/>
                <w:color w:val="FFFFFF"/>
                <w:sz w:val="22"/>
                <w:szCs w:val="22"/>
              </w:rPr>
            </w:pPr>
            <w:r w:rsidRPr="005A50F8">
              <w:rPr>
                <w:rFonts w:cs="Calibri"/>
                <w:b/>
                <w:bCs/>
                <w:color w:val="FFFFFF"/>
                <w:sz w:val="22"/>
                <w:szCs w:val="22"/>
              </w:rPr>
              <w:t>Ave. Event Temp.</w:t>
            </w:r>
          </w:p>
        </w:tc>
      </w:tr>
      <w:tr w:rsidR="005A50F8" w:rsidRPr="005A50F8" w14:paraId="587076CB" w14:textId="77777777" w:rsidTr="002C1FA8">
        <w:trPr>
          <w:trHeight w:val="20"/>
          <w:jc w:val="center"/>
        </w:trPr>
        <w:tc>
          <w:tcPr>
            <w:tcW w:w="35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6FD439E7" w14:textId="77777777" w:rsidR="005A50F8" w:rsidRPr="005A50F8" w:rsidRDefault="005A50F8" w:rsidP="005A50F8">
            <w:pPr>
              <w:keepNext/>
              <w:jc w:val="center"/>
              <w:rPr>
                <w:rFonts w:cs="Calibri"/>
                <w:sz w:val="22"/>
                <w:szCs w:val="22"/>
              </w:rPr>
            </w:pPr>
            <w:r w:rsidRPr="005A50F8">
              <w:rPr>
                <w:rFonts w:cs="Calibri"/>
                <w:sz w:val="22"/>
                <w:szCs w:val="22"/>
              </w:rPr>
              <w:t>Coastal</w:t>
            </w:r>
          </w:p>
        </w:tc>
        <w:tc>
          <w:tcPr>
            <w:tcW w:w="2520" w:type="dxa"/>
            <w:tcBorders>
              <w:top w:val="nil"/>
              <w:left w:val="nil"/>
              <w:bottom w:val="nil"/>
              <w:right w:val="single" w:sz="4" w:space="0" w:color="auto"/>
            </w:tcBorders>
            <w:shd w:val="clear" w:color="000000" w:fill="FFFFFF"/>
            <w:noWrap/>
            <w:vAlign w:val="bottom"/>
            <w:hideMark/>
          </w:tcPr>
          <w:p w14:paraId="3BBE590A" w14:textId="77777777" w:rsidR="005A50F8" w:rsidRPr="005A50F8" w:rsidRDefault="005A50F8" w:rsidP="005A50F8">
            <w:pPr>
              <w:keepNext/>
              <w:jc w:val="right"/>
              <w:rPr>
                <w:rFonts w:cs="Calibri"/>
                <w:sz w:val="22"/>
                <w:szCs w:val="22"/>
              </w:rPr>
            </w:pPr>
            <w:r w:rsidRPr="005A50F8">
              <w:rPr>
                <w:rFonts w:cs="Calibri"/>
                <w:sz w:val="22"/>
                <w:szCs w:val="22"/>
              </w:rPr>
              <w:t>Aug 31, 2017</w:t>
            </w:r>
          </w:p>
        </w:tc>
        <w:tc>
          <w:tcPr>
            <w:tcW w:w="985" w:type="dxa"/>
            <w:tcBorders>
              <w:top w:val="nil"/>
              <w:left w:val="nil"/>
              <w:bottom w:val="nil"/>
              <w:right w:val="single" w:sz="4" w:space="0" w:color="auto"/>
            </w:tcBorders>
            <w:shd w:val="clear" w:color="000000" w:fill="FFFFFF"/>
            <w:noWrap/>
            <w:vAlign w:val="bottom"/>
            <w:hideMark/>
          </w:tcPr>
          <w:p w14:paraId="106AB3DF" w14:textId="77777777" w:rsidR="005A50F8" w:rsidRPr="005A50F8" w:rsidRDefault="005A50F8" w:rsidP="005A50F8">
            <w:pPr>
              <w:keepNext/>
              <w:jc w:val="center"/>
              <w:rPr>
                <w:rFonts w:cs="Calibri"/>
                <w:sz w:val="22"/>
                <w:szCs w:val="22"/>
              </w:rPr>
            </w:pPr>
            <w:r w:rsidRPr="005A50F8">
              <w:rPr>
                <w:rFonts w:cs="Calibri"/>
                <w:sz w:val="22"/>
                <w:szCs w:val="22"/>
              </w:rPr>
              <w:t>2,847</w:t>
            </w:r>
          </w:p>
        </w:tc>
        <w:tc>
          <w:tcPr>
            <w:tcW w:w="1076" w:type="dxa"/>
            <w:tcBorders>
              <w:top w:val="nil"/>
              <w:left w:val="nil"/>
              <w:bottom w:val="nil"/>
              <w:right w:val="single" w:sz="4" w:space="0" w:color="auto"/>
            </w:tcBorders>
            <w:shd w:val="clear" w:color="000000" w:fill="FFFFFF"/>
            <w:noWrap/>
            <w:vAlign w:val="bottom"/>
            <w:hideMark/>
          </w:tcPr>
          <w:p w14:paraId="68832051" w14:textId="77777777" w:rsidR="005A50F8" w:rsidRPr="005A50F8" w:rsidRDefault="005A50F8" w:rsidP="005A50F8">
            <w:pPr>
              <w:keepNext/>
              <w:jc w:val="center"/>
              <w:rPr>
                <w:rFonts w:cs="Calibri"/>
                <w:sz w:val="22"/>
                <w:szCs w:val="22"/>
              </w:rPr>
            </w:pPr>
            <w:r w:rsidRPr="005A50F8">
              <w:rPr>
                <w:rFonts w:cs="Calibri"/>
                <w:sz w:val="22"/>
                <w:szCs w:val="22"/>
              </w:rPr>
              <w:t>3.09</w:t>
            </w:r>
          </w:p>
        </w:tc>
        <w:tc>
          <w:tcPr>
            <w:tcW w:w="1076" w:type="dxa"/>
            <w:tcBorders>
              <w:top w:val="nil"/>
              <w:left w:val="nil"/>
              <w:bottom w:val="nil"/>
              <w:right w:val="single" w:sz="4" w:space="0" w:color="auto"/>
            </w:tcBorders>
            <w:shd w:val="clear" w:color="000000" w:fill="FFFFFF"/>
            <w:noWrap/>
            <w:vAlign w:val="bottom"/>
            <w:hideMark/>
          </w:tcPr>
          <w:p w14:paraId="097BA702" w14:textId="77777777" w:rsidR="005A50F8" w:rsidRPr="005A50F8" w:rsidRDefault="005A50F8" w:rsidP="005A50F8">
            <w:pPr>
              <w:keepNext/>
              <w:jc w:val="center"/>
              <w:rPr>
                <w:rFonts w:cs="Calibri"/>
                <w:sz w:val="22"/>
                <w:szCs w:val="22"/>
              </w:rPr>
            </w:pPr>
            <w:r w:rsidRPr="005A50F8">
              <w:rPr>
                <w:rFonts w:cs="Calibri"/>
                <w:sz w:val="22"/>
                <w:szCs w:val="22"/>
              </w:rPr>
              <w:t>0.41</w:t>
            </w:r>
          </w:p>
        </w:tc>
        <w:tc>
          <w:tcPr>
            <w:tcW w:w="989" w:type="dxa"/>
            <w:tcBorders>
              <w:top w:val="nil"/>
              <w:left w:val="nil"/>
              <w:bottom w:val="nil"/>
              <w:right w:val="single" w:sz="4" w:space="0" w:color="auto"/>
            </w:tcBorders>
            <w:shd w:val="clear" w:color="000000" w:fill="FFFFFF"/>
            <w:noWrap/>
            <w:vAlign w:val="bottom"/>
            <w:hideMark/>
          </w:tcPr>
          <w:p w14:paraId="67C2BA8F" w14:textId="77777777" w:rsidR="005A50F8" w:rsidRPr="005A50F8" w:rsidRDefault="005A50F8" w:rsidP="005A50F8">
            <w:pPr>
              <w:keepNext/>
              <w:jc w:val="center"/>
              <w:rPr>
                <w:rFonts w:cs="Calibri"/>
                <w:sz w:val="22"/>
                <w:szCs w:val="22"/>
              </w:rPr>
            </w:pPr>
            <w:r w:rsidRPr="005A50F8">
              <w:rPr>
                <w:rFonts w:cs="Calibri"/>
                <w:sz w:val="22"/>
                <w:szCs w:val="22"/>
              </w:rPr>
              <w:t>1.09</w:t>
            </w:r>
          </w:p>
        </w:tc>
        <w:tc>
          <w:tcPr>
            <w:tcW w:w="989" w:type="dxa"/>
            <w:tcBorders>
              <w:top w:val="nil"/>
              <w:left w:val="nil"/>
              <w:bottom w:val="nil"/>
              <w:right w:val="single" w:sz="4" w:space="0" w:color="auto"/>
            </w:tcBorders>
            <w:shd w:val="clear" w:color="000000" w:fill="FFFFFF"/>
            <w:noWrap/>
            <w:vAlign w:val="bottom"/>
            <w:hideMark/>
          </w:tcPr>
          <w:p w14:paraId="347C010D" w14:textId="77777777" w:rsidR="005A50F8" w:rsidRPr="005A50F8" w:rsidRDefault="005A50F8" w:rsidP="005A50F8">
            <w:pPr>
              <w:keepNext/>
              <w:jc w:val="center"/>
              <w:rPr>
                <w:rFonts w:cs="Calibri"/>
                <w:sz w:val="22"/>
                <w:szCs w:val="22"/>
              </w:rPr>
            </w:pPr>
            <w:r w:rsidRPr="005A50F8">
              <w:rPr>
                <w:rFonts w:cs="Calibri"/>
                <w:sz w:val="22"/>
                <w:szCs w:val="22"/>
              </w:rPr>
              <w:t>0.15</w:t>
            </w:r>
          </w:p>
        </w:tc>
        <w:tc>
          <w:tcPr>
            <w:tcW w:w="960" w:type="dxa"/>
            <w:tcBorders>
              <w:top w:val="nil"/>
              <w:left w:val="nil"/>
              <w:bottom w:val="nil"/>
              <w:right w:val="single" w:sz="4" w:space="0" w:color="auto"/>
            </w:tcBorders>
            <w:shd w:val="clear" w:color="000000" w:fill="FFFFFF"/>
            <w:noWrap/>
            <w:vAlign w:val="bottom"/>
            <w:hideMark/>
          </w:tcPr>
          <w:p w14:paraId="1441284A" w14:textId="77777777" w:rsidR="005A50F8" w:rsidRPr="005A50F8" w:rsidRDefault="005A50F8" w:rsidP="005A50F8">
            <w:pPr>
              <w:keepNext/>
              <w:jc w:val="center"/>
              <w:rPr>
                <w:rFonts w:cs="Calibri"/>
                <w:sz w:val="22"/>
                <w:szCs w:val="22"/>
              </w:rPr>
            </w:pPr>
            <w:r w:rsidRPr="005A50F8">
              <w:rPr>
                <w:rFonts w:cs="Calibri"/>
                <w:sz w:val="22"/>
                <w:szCs w:val="22"/>
              </w:rPr>
              <w:t>13%</w:t>
            </w:r>
          </w:p>
        </w:tc>
        <w:tc>
          <w:tcPr>
            <w:tcW w:w="960" w:type="dxa"/>
            <w:tcBorders>
              <w:top w:val="nil"/>
              <w:left w:val="nil"/>
              <w:bottom w:val="nil"/>
              <w:right w:val="single" w:sz="4" w:space="0" w:color="auto"/>
            </w:tcBorders>
            <w:shd w:val="clear" w:color="000000" w:fill="FFFFFF"/>
            <w:noWrap/>
            <w:vAlign w:val="bottom"/>
            <w:hideMark/>
          </w:tcPr>
          <w:p w14:paraId="22B36D2F" w14:textId="77777777" w:rsidR="005A50F8" w:rsidRPr="005A50F8" w:rsidRDefault="005A50F8" w:rsidP="005A50F8">
            <w:pPr>
              <w:keepNext/>
              <w:jc w:val="center"/>
              <w:rPr>
                <w:rFonts w:cs="Calibri"/>
                <w:sz w:val="22"/>
                <w:szCs w:val="22"/>
              </w:rPr>
            </w:pPr>
            <w:r w:rsidRPr="005A50F8">
              <w:rPr>
                <w:rFonts w:cs="Calibri"/>
                <w:sz w:val="22"/>
                <w:szCs w:val="22"/>
              </w:rPr>
              <w:t>86</w:t>
            </w:r>
          </w:p>
        </w:tc>
      </w:tr>
      <w:tr w:rsidR="005A50F8" w:rsidRPr="005A50F8" w14:paraId="7C604FC7" w14:textId="77777777" w:rsidTr="002C1FA8">
        <w:trPr>
          <w:trHeight w:val="20"/>
          <w:jc w:val="center"/>
        </w:trPr>
        <w:tc>
          <w:tcPr>
            <w:tcW w:w="355" w:type="dxa"/>
            <w:vMerge/>
            <w:tcBorders>
              <w:top w:val="nil"/>
              <w:left w:val="single" w:sz="4" w:space="0" w:color="auto"/>
              <w:bottom w:val="single" w:sz="4" w:space="0" w:color="000000"/>
              <w:right w:val="single" w:sz="4" w:space="0" w:color="auto"/>
            </w:tcBorders>
            <w:vAlign w:val="center"/>
            <w:hideMark/>
          </w:tcPr>
          <w:p w14:paraId="6D8A37F7" w14:textId="77777777" w:rsidR="005A50F8" w:rsidRPr="005A50F8" w:rsidRDefault="005A50F8" w:rsidP="005A50F8">
            <w:pPr>
              <w:keepNext/>
              <w:rPr>
                <w:rFonts w:cs="Calibri"/>
                <w:sz w:val="22"/>
                <w:szCs w:val="22"/>
              </w:rPr>
            </w:pPr>
          </w:p>
        </w:tc>
        <w:tc>
          <w:tcPr>
            <w:tcW w:w="2520" w:type="dxa"/>
            <w:tcBorders>
              <w:top w:val="nil"/>
              <w:left w:val="nil"/>
              <w:right w:val="single" w:sz="4" w:space="0" w:color="auto"/>
            </w:tcBorders>
            <w:shd w:val="clear" w:color="000000" w:fill="FFFFFF"/>
            <w:noWrap/>
            <w:vAlign w:val="bottom"/>
            <w:hideMark/>
          </w:tcPr>
          <w:p w14:paraId="6A91DFFC" w14:textId="6A1B1A6A" w:rsidR="005A50F8" w:rsidRPr="005A50F8" w:rsidRDefault="005A50F8" w:rsidP="005A50F8">
            <w:pPr>
              <w:keepNext/>
              <w:jc w:val="right"/>
              <w:rPr>
                <w:rFonts w:cs="Calibri"/>
                <w:sz w:val="22"/>
                <w:szCs w:val="22"/>
              </w:rPr>
            </w:pPr>
            <w:r w:rsidRPr="005A50F8">
              <w:rPr>
                <w:rFonts w:cs="Calibri"/>
                <w:sz w:val="22"/>
                <w:szCs w:val="22"/>
              </w:rPr>
              <w:t>Sep 1, 2017</w:t>
            </w:r>
          </w:p>
        </w:tc>
        <w:tc>
          <w:tcPr>
            <w:tcW w:w="985" w:type="dxa"/>
            <w:tcBorders>
              <w:top w:val="nil"/>
              <w:left w:val="nil"/>
              <w:right w:val="single" w:sz="4" w:space="0" w:color="auto"/>
            </w:tcBorders>
            <w:shd w:val="clear" w:color="000000" w:fill="FFFFFF"/>
            <w:noWrap/>
            <w:vAlign w:val="bottom"/>
            <w:hideMark/>
          </w:tcPr>
          <w:p w14:paraId="794ABE0E" w14:textId="77777777" w:rsidR="005A50F8" w:rsidRPr="005A50F8" w:rsidRDefault="005A50F8" w:rsidP="005A50F8">
            <w:pPr>
              <w:keepNext/>
              <w:jc w:val="center"/>
              <w:rPr>
                <w:rFonts w:cs="Calibri"/>
                <w:sz w:val="22"/>
                <w:szCs w:val="22"/>
              </w:rPr>
            </w:pPr>
            <w:r w:rsidRPr="005A50F8">
              <w:rPr>
                <w:rFonts w:cs="Calibri"/>
                <w:sz w:val="22"/>
                <w:szCs w:val="22"/>
              </w:rPr>
              <w:t>2,844</w:t>
            </w:r>
          </w:p>
        </w:tc>
        <w:tc>
          <w:tcPr>
            <w:tcW w:w="1076" w:type="dxa"/>
            <w:tcBorders>
              <w:top w:val="nil"/>
              <w:left w:val="nil"/>
              <w:right w:val="single" w:sz="4" w:space="0" w:color="auto"/>
            </w:tcBorders>
            <w:shd w:val="clear" w:color="000000" w:fill="FFFFFF"/>
            <w:noWrap/>
            <w:vAlign w:val="bottom"/>
            <w:hideMark/>
          </w:tcPr>
          <w:p w14:paraId="436A146C" w14:textId="77777777" w:rsidR="005A50F8" w:rsidRPr="005A50F8" w:rsidRDefault="005A50F8" w:rsidP="005A50F8">
            <w:pPr>
              <w:keepNext/>
              <w:jc w:val="center"/>
              <w:rPr>
                <w:rFonts w:cs="Calibri"/>
                <w:sz w:val="22"/>
                <w:szCs w:val="22"/>
              </w:rPr>
            </w:pPr>
            <w:r w:rsidRPr="005A50F8">
              <w:rPr>
                <w:rFonts w:cs="Calibri"/>
                <w:sz w:val="22"/>
                <w:szCs w:val="22"/>
              </w:rPr>
              <w:t>3.64</w:t>
            </w:r>
          </w:p>
        </w:tc>
        <w:tc>
          <w:tcPr>
            <w:tcW w:w="1076" w:type="dxa"/>
            <w:tcBorders>
              <w:top w:val="nil"/>
              <w:left w:val="nil"/>
              <w:right w:val="single" w:sz="4" w:space="0" w:color="auto"/>
            </w:tcBorders>
            <w:shd w:val="clear" w:color="000000" w:fill="FFFFFF"/>
            <w:noWrap/>
            <w:vAlign w:val="bottom"/>
            <w:hideMark/>
          </w:tcPr>
          <w:p w14:paraId="579E5E75" w14:textId="77777777" w:rsidR="005A50F8" w:rsidRPr="005A50F8" w:rsidRDefault="005A50F8" w:rsidP="005A50F8">
            <w:pPr>
              <w:keepNext/>
              <w:jc w:val="center"/>
              <w:rPr>
                <w:rFonts w:cs="Calibri"/>
                <w:sz w:val="22"/>
                <w:szCs w:val="22"/>
              </w:rPr>
            </w:pPr>
            <w:r w:rsidRPr="005A50F8">
              <w:rPr>
                <w:rFonts w:cs="Calibri"/>
                <w:sz w:val="22"/>
                <w:szCs w:val="22"/>
              </w:rPr>
              <w:t>0.53</w:t>
            </w:r>
          </w:p>
        </w:tc>
        <w:tc>
          <w:tcPr>
            <w:tcW w:w="989" w:type="dxa"/>
            <w:tcBorders>
              <w:top w:val="nil"/>
              <w:left w:val="nil"/>
              <w:right w:val="single" w:sz="4" w:space="0" w:color="auto"/>
            </w:tcBorders>
            <w:shd w:val="clear" w:color="000000" w:fill="FFFFFF"/>
            <w:noWrap/>
            <w:vAlign w:val="bottom"/>
            <w:hideMark/>
          </w:tcPr>
          <w:p w14:paraId="719A8591" w14:textId="77777777" w:rsidR="005A50F8" w:rsidRPr="005A50F8" w:rsidRDefault="005A50F8" w:rsidP="005A50F8">
            <w:pPr>
              <w:keepNext/>
              <w:jc w:val="center"/>
              <w:rPr>
                <w:rFonts w:cs="Calibri"/>
                <w:sz w:val="22"/>
                <w:szCs w:val="22"/>
              </w:rPr>
            </w:pPr>
            <w:r w:rsidRPr="005A50F8">
              <w:rPr>
                <w:rFonts w:cs="Calibri"/>
                <w:sz w:val="22"/>
                <w:szCs w:val="22"/>
              </w:rPr>
              <w:t>1.28</w:t>
            </w:r>
          </w:p>
        </w:tc>
        <w:tc>
          <w:tcPr>
            <w:tcW w:w="989" w:type="dxa"/>
            <w:tcBorders>
              <w:top w:val="nil"/>
              <w:left w:val="nil"/>
              <w:right w:val="single" w:sz="4" w:space="0" w:color="auto"/>
            </w:tcBorders>
            <w:shd w:val="clear" w:color="000000" w:fill="FFFFFF"/>
            <w:noWrap/>
            <w:vAlign w:val="bottom"/>
            <w:hideMark/>
          </w:tcPr>
          <w:p w14:paraId="50030E6D" w14:textId="77777777" w:rsidR="005A50F8" w:rsidRPr="005A50F8" w:rsidRDefault="005A50F8" w:rsidP="005A50F8">
            <w:pPr>
              <w:keepNext/>
              <w:jc w:val="center"/>
              <w:rPr>
                <w:rFonts w:cs="Calibri"/>
                <w:sz w:val="22"/>
                <w:szCs w:val="22"/>
              </w:rPr>
            </w:pPr>
            <w:r w:rsidRPr="005A50F8">
              <w:rPr>
                <w:rFonts w:cs="Calibri"/>
                <w:sz w:val="22"/>
                <w:szCs w:val="22"/>
              </w:rPr>
              <w:t>0.18</w:t>
            </w:r>
          </w:p>
        </w:tc>
        <w:tc>
          <w:tcPr>
            <w:tcW w:w="960" w:type="dxa"/>
            <w:tcBorders>
              <w:top w:val="nil"/>
              <w:left w:val="nil"/>
              <w:right w:val="single" w:sz="4" w:space="0" w:color="auto"/>
            </w:tcBorders>
            <w:shd w:val="clear" w:color="000000" w:fill="FFFFFF"/>
            <w:noWrap/>
            <w:vAlign w:val="bottom"/>
            <w:hideMark/>
          </w:tcPr>
          <w:p w14:paraId="204D4417" w14:textId="77777777" w:rsidR="005A50F8" w:rsidRPr="005A50F8" w:rsidRDefault="005A50F8" w:rsidP="005A50F8">
            <w:pPr>
              <w:keepNext/>
              <w:jc w:val="center"/>
              <w:rPr>
                <w:rFonts w:cs="Calibri"/>
                <w:sz w:val="22"/>
                <w:szCs w:val="22"/>
              </w:rPr>
            </w:pPr>
            <w:r w:rsidRPr="005A50F8">
              <w:rPr>
                <w:rFonts w:cs="Calibri"/>
                <w:sz w:val="22"/>
                <w:szCs w:val="22"/>
              </w:rPr>
              <w:t>14%</w:t>
            </w:r>
          </w:p>
        </w:tc>
        <w:tc>
          <w:tcPr>
            <w:tcW w:w="960" w:type="dxa"/>
            <w:tcBorders>
              <w:top w:val="nil"/>
              <w:left w:val="nil"/>
              <w:right w:val="single" w:sz="4" w:space="0" w:color="auto"/>
            </w:tcBorders>
            <w:shd w:val="clear" w:color="000000" w:fill="FFFFFF"/>
            <w:noWrap/>
            <w:vAlign w:val="bottom"/>
            <w:hideMark/>
          </w:tcPr>
          <w:p w14:paraId="4F39EDB0" w14:textId="77777777" w:rsidR="005A50F8" w:rsidRPr="005A50F8" w:rsidRDefault="005A50F8" w:rsidP="005A50F8">
            <w:pPr>
              <w:keepNext/>
              <w:jc w:val="center"/>
              <w:rPr>
                <w:rFonts w:cs="Calibri"/>
                <w:sz w:val="22"/>
                <w:szCs w:val="22"/>
              </w:rPr>
            </w:pPr>
            <w:r w:rsidRPr="005A50F8">
              <w:rPr>
                <w:rFonts w:cs="Calibri"/>
                <w:sz w:val="22"/>
                <w:szCs w:val="22"/>
              </w:rPr>
              <w:t>93</w:t>
            </w:r>
          </w:p>
        </w:tc>
      </w:tr>
      <w:tr w:rsidR="005A50F8" w:rsidRPr="005A50F8" w14:paraId="2320DABE" w14:textId="77777777" w:rsidTr="002C1FA8">
        <w:trPr>
          <w:trHeight w:val="20"/>
          <w:jc w:val="center"/>
        </w:trPr>
        <w:tc>
          <w:tcPr>
            <w:tcW w:w="355" w:type="dxa"/>
            <w:vMerge/>
            <w:tcBorders>
              <w:top w:val="nil"/>
              <w:left w:val="single" w:sz="4" w:space="0" w:color="auto"/>
              <w:bottom w:val="single" w:sz="4" w:space="0" w:color="000000"/>
              <w:right w:val="single" w:sz="4" w:space="0" w:color="auto"/>
            </w:tcBorders>
            <w:vAlign w:val="center"/>
            <w:hideMark/>
          </w:tcPr>
          <w:p w14:paraId="15E17324" w14:textId="77777777" w:rsidR="005A50F8" w:rsidRPr="005A50F8" w:rsidRDefault="005A50F8" w:rsidP="005A50F8">
            <w:pPr>
              <w:keepNext/>
              <w:rPr>
                <w:rFonts w:cs="Calibri"/>
                <w:sz w:val="22"/>
                <w:szCs w:val="22"/>
              </w:rPr>
            </w:pPr>
          </w:p>
        </w:tc>
        <w:tc>
          <w:tcPr>
            <w:tcW w:w="2520" w:type="dxa"/>
            <w:tcBorders>
              <w:top w:val="nil"/>
              <w:left w:val="nil"/>
              <w:right w:val="single" w:sz="4" w:space="0" w:color="auto"/>
            </w:tcBorders>
            <w:shd w:val="clear" w:color="000000" w:fill="FFFFFF"/>
            <w:noWrap/>
            <w:vAlign w:val="bottom"/>
            <w:hideMark/>
          </w:tcPr>
          <w:p w14:paraId="050AEAA6" w14:textId="50E25D04" w:rsidR="005A50F8" w:rsidRPr="005A50F8" w:rsidRDefault="009B006F" w:rsidP="005A50F8">
            <w:pPr>
              <w:keepNext/>
              <w:jc w:val="right"/>
              <w:rPr>
                <w:rFonts w:cs="Calibri"/>
                <w:sz w:val="22"/>
                <w:szCs w:val="22"/>
              </w:rPr>
            </w:pPr>
            <w:r>
              <w:rPr>
                <w:rFonts w:cs="Calibri"/>
                <w:sz w:val="22"/>
                <w:szCs w:val="22"/>
              </w:rPr>
              <w:t>Sep</w:t>
            </w:r>
            <w:r w:rsidR="005A50F8" w:rsidRPr="005A50F8">
              <w:rPr>
                <w:rFonts w:cs="Calibri"/>
                <w:sz w:val="22"/>
                <w:szCs w:val="22"/>
              </w:rPr>
              <w:t xml:space="preserve"> 2, 2017</w:t>
            </w:r>
          </w:p>
        </w:tc>
        <w:tc>
          <w:tcPr>
            <w:tcW w:w="985" w:type="dxa"/>
            <w:tcBorders>
              <w:top w:val="nil"/>
              <w:left w:val="nil"/>
              <w:right w:val="single" w:sz="4" w:space="0" w:color="auto"/>
            </w:tcBorders>
            <w:shd w:val="clear" w:color="000000" w:fill="FFFFFF"/>
            <w:noWrap/>
            <w:vAlign w:val="bottom"/>
            <w:hideMark/>
          </w:tcPr>
          <w:p w14:paraId="0ED8891F" w14:textId="77777777" w:rsidR="005A50F8" w:rsidRPr="005A50F8" w:rsidRDefault="005A50F8" w:rsidP="005A50F8">
            <w:pPr>
              <w:keepNext/>
              <w:jc w:val="center"/>
              <w:rPr>
                <w:rFonts w:cs="Calibri"/>
                <w:sz w:val="22"/>
                <w:szCs w:val="22"/>
              </w:rPr>
            </w:pPr>
            <w:r w:rsidRPr="005A50F8">
              <w:rPr>
                <w:rFonts w:cs="Calibri"/>
                <w:sz w:val="22"/>
                <w:szCs w:val="22"/>
              </w:rPr>
              <w:t>2,849</w:t>
            </w:r>
          </w:p>
        </w:tc>
        <w:tc>
          <w:tcPr>
            <w:tcW w:w="1076" w:type="dxa"/>
            <w:tcBorders>
              <w:top w:val="nil"/>
              <w:left w:val="nil"/>
              <w:right w:val="single" w:sz="4" w:space="0" w:color="auto"/>
            </w:tcBorders>
            <w:shd w:val="clear" w:color="000000" w:fill="FFFFFF"/>
            <w:noWrap/>
            <w:vAlign w:val="bottom"/>
            <w:hideMark/>
          </w:tcPr>
          <w:p w14:paraId="24112130" w14:textId="77777777" w:rsidR="005A50F8" w:rsidRPr="005A50F8" w:rsidRDefault="005A50F8" w:rsidP="005A50F8">
            <w:pPr>
              <w:keepNext/>
              <w:jc w:val="center"/>
              <w:rPr>
                <w:rFonts w:cs="Calibri"/>
                <w:sz w:val="22"/>
                <w:szCs w:val="22"/>
              </w:rPr>
            </w:pPr>
            <w:r w:rsidRPr="005A50F8">
              <w:rPr>
                <w:rFonts w:cs="Calibri"/>
                <w:sz w:val="22"/>
                <w:szCs w:val="22"/>
              </w:rPr>
              <w:t>4.05</w:t>
            </w:r>
          </w:p>
        </w:tc>
        <w:tc>
          <w:tcPr>
            <w:tcW w:w="1076" w:type="dxa"/>
            <w:tcBorders>
              <w:top w:val="nil"/>
              <w:left w:val="nil"/>
              <w:right w:val="single" w:sz="4" w:space="0" w:color="auto"/>
            </w:tcBorders>
            <w:shd w:val="clear" w:color="000000" w:fill="FFFFFF"/>
            <w:noWrap/>
            <w:vAlign w:val="bottom"/>
            <w:hideMark/>
          </w:tcPr>
          <w:p w14:paraId="4032E762" w14:textId="77777777" w:rsidR="005A50F8" w:rsidRPr="005A50F8" w:rsidRDefault="005A50F8" w:rsidP="005A50F8">
            <w:pPr>
              <w:keepNext/>
              <w:jc w:val="center"/>
              <w:rPr>
                <w:rFonts w:cs="Calibri"/>
                <w:sz w:val="22"/>
                <w:szCs w:val="22"/>
              </w:rPr>
            </w:pPr>
            <w:r w:rsidRPr="005A50F8">
              <w:rPr>
                <w:rFonts w:cs="Calibri"/>
                <w:sz w:val="22"/>
                <w:szCs w:val="22"/>
              </w:rPr>
              <w:t>0.46</w:t>
            </w:r>
          </w:p>
        </w:tc>
        <w:tc>
          <w:tcPr>
            <w:tcW w:w="989" w:type="dxa"/>
            <w:tcBorders>
              <w:top w:val="nil"/>
              <w:left w:val="nil"/>
              <w:right w:val="single" w:sz="4" w:space="0" w:color="auto"/>
            </w:tcBorders>
            <w:shd w:val="clear" w:color="000000" w:fill="FFFFFF"/>
            <w:noWrap/>
            <w:vAlign w:val="bottom"/>
            <w:hideMark/>
          </w:tcPr>
          <w:p w14:paraId="7BE3763C" w14:textId="77777777" w:rsidR="005A50F8" w:rsidRPr="005A50F8" w:rsidRDefault="005A50F8" w:rsidP="005A50F8">
            <w:pPr>
              <w:keepNext/>
              <w:jc w:val="center"/>
              <w:rPr>
                <w:rFonts w:cs="Calibri"/>
                <w:sz w:val="22"/>
                <w:szCs w:val="22"/>
              </w:rPr>
            </w:pPr>
            <w:r w:rsidRPr="005A50F8">
              <w:rPr>
                <w:rFonts w:cs="Calibri"/>
                <w:sz w:val="22"/>
                <w:szCs w:val="22"/>
              </w:rPr>
              <w:t>1.42</w:t>
            </w:r>
          </w:p>
        </w:tc>
        <w:tc>
          <w:tcPr>
            <w:tcW w:w="989" w:type="dxa"/>
            <w:tcBorders>
              <w:top w:val="nil"/>
              <w:left w:val="nil"/>
              <w:right w:val="single" w:sz="4" w:space="0" w:color="auto"/>
            </w:tcBorders>
            <w:shd w:val="clear" w:color="000000" w:fill="FFFFFF"/>
            <w:noWrap/>
            <w:vAlign w:val="bottom"/>
            <w:hideMark/>
          </w:tcPr>
          <w:p w14:paraId="603BE19E" w14:textId="77777777" w:rsidR="005A50F8" w:rsidRPr="005A50F8" w:rsidRDefault="005A50F8" w:rsidP="005A50F8">
            <w:pPr>
              <w:keepNext/>
              <w:jc w:val="center"/>
              <w:rPr>
                <w:rFonts w:cs="Calibri"/>
                <w:sz w:val="22"/>
                <w:szCs w:val="22"/>
              </w:rPr>
            </w:pPr>
            <w:r w:rsidRPr="005A50F8">
              <w:rPr>
                <w:rFonts w:cs="Calibri"/>
                <w:sz w:val="22"/>
                <w:szCs w:val="22"/>
              </w:rPr>
              <w:t>0.16</w:t>
            </w:r>
          </w:p>
        </w:tc>
        <w:tc>
          <w:tcPr>
            <w:tcW w:w="960" w:type="dxa"/>
            <w:tcBorders>
              <w:top w:val="nil"/>
              <w:left w:val="nil"/>
              <w:right w:val="single" w:sz="4" w:space="0" w:color="auto"/>
            </w:tcBorders>
            <w:shd w:val="clear" w:color="000000" w:fill="FFFFFF"/>
            <w:noWrap/>
            <w:vAlign w:val="bottom"/>
            <w:hideMark/>
          </w:tcPr>
          <w:p w14:paraId="744B541F" w14:textId="77777777" w:rsidR="005A50F8" w:rsidRPr="005A50F8" w:rsidRDefault="005A50F8" w:rsidP="005A50F8">
            <w:pPr>
              <w:keepNext/>
              <w:jc w:val="center"/>
              <w:rPr>
                <w:rFonts w:cs="Calibri"/>
                <w:sz w:val="22"/>
                <w:szCs w:val="22"/>
              </w:rPr>
            </w:pPr>
            <w:r w:rsidRPr="005A50F8">
              <w:rPr>
                <w:rFonts w:cs="Calibri"/>
                <w:sz w:val="22"/>
                <w:szCs w:val="22"/>
              </w:rPr>
              <w:t>11%</w:t>
            </w:r>
          </w:p>
        </w:tc>
        <w:tc>
          <w:tcPr>
            <w:tcW w:w="960" w:type="dxa"/>
            <w:tcBorders>
              <w:top w:val="nil"/>
              <w:left w:val="nil"/>
              <w:right w:val="single" w:sz="4" w:space="0" w:color="auto"/>
            </w:tcBorders>
            <w:shd w:val="clear" w:color="000000" w:fill="FFFFFF"/>
            <w:noWrap/>
            <w:vAlign w:val="bottom"/>
            <w:hideMark/>
          </w:tcPr>
          <w:p w14:paraId="08E70E6B" w14:textId="77777777" w:rsidR="005A50F8" w:rsidRPr="005A50F8" w:rsidRDefault="005A50F8" w:rsidP="005A50F8">
            <w:pPr>
              <w:keepNext/>
              <w:jc w:val="center"/>
              <w:rPr>
                <w:rFonts w:cs="Calibri"/>
                <w:sz w:val="22"/>
                <w:szCs w:val="22"/>
              </w:rPr>
            </w:pPr>
            <w:r w:rsidRPr="005A50F8">
              <w:rPr>
                <w:rFonts w:cs="Calibri"/>
                <w:sz w:val="22"/>
                <w:szCs w:val="22"/>
              </w:rPr>
              <w:t>92</w:t>
            </w:r>
          </w:p>
        </w:tc>
      </w:tr>
      <w:tr w:rsidR="005A50F8" w:rsidRPr="005A50F8" w14:paraId="1712FD08" w14:textId="77777777" w:rsidTr="002C1FA8">
        <w:trPr>
          <w:trHeight w:val="20"/>
          <w:jc w:val="center"/>
        </w:trPr>
        <w:tc>
          <w:tcPr>
            <w:tcW w:w="355" w:type="dxa"/>
            <w:vMerge/>
            <w:tcBorders>
              <w:top w:val="nil"/>
              <w:left w:val="single" w:sz="4" w:space="0" w:color="auto"/>
              <w:bottom w:val="single" w:sz="4" w:space="0" w:color="000000"/>
              <w:right w:val="single" w:sz="4" w:space="0" w:color="auto"/>
            </w:tcBorders>
            <w:vAlign w:val="center"/>
            <w:hideMark/>
          </w:tcPr>
          <w:p w14:paraId="3E746385" w14:textId="77777777" w:rsidR="005A50F8" w:rsidRPr="005A50F8" w:rsidRDefault="005A50F8" w:rsidP="005A50F8">
            <w:pPr>
              <w:keepNext/>
              <w:rPr>
                <w:rFonts w:cs="Calibri"/>
                <w:sz w:val="22"/>
                <w:szCs w:val="22"/>
              </w:rPr>
            </w:pPr>
          </w:p>
        </w:tc>
        <w:tc>
          <w:tcPr>
            <w:tcW w:w="2520" w:type="dxa"/>
            <w:tcBorders>
              <w:left w:val="nil"/>
              <w:bottom w:val="single" w:sz="4" w:space="0" w:color="auto"/>
              <w:right w:val="single" w:sz="4" w:space="0" w:color="auto"/>
            </w:tcBorders>
            <w:shd w:val="clear" w:color="000000" w:fill="FFFFFF"/>
            <w:noWrap/>
            <w:vAlign w:val="bottom"/>
            <w:hideMark/>
          </w:tcPr>
          <w:p w14:paraId="121ABD83" w14:textId="68FCAC2E" w:rsidR="005A50F8" w:rsidRPr="00237521" w:rsidRDefault="0050472E" w:rsidP="005A50F8">
            <w:pPr>
              <w:keepNext/>
              <w:jc w:val="right"/>
              <w:rPr>
                <w:rFonts w:cs="Calibri"/>
                <w:b/>
                <w:sz w:val="22"/>
                <w:szCs w:val="22"/>
              </w:rPr>
            </w:pPr>
            <w:r>
              <w:rPr>
                <w:rFonts w:cs="Calibri"/>
                <w:b/>
                <w:sz w:val="22"/>
                <w:szCs w:val="22"/>
              </w:rPr>
              <w:t>Average Weekday</w:t>
            </w:r>
            <w:r w:rsidR="002C1FA8">
              <w:rPr>
                <w:rFonts w:cs="Calibri"/>
                <w:b/>
                <w:sz w:val="22"/>
                <w:szCs w:val="22"/>
              </w:rPr>
              <w:t xml:space="preserve"> </w:t>
            </w:r>
            <w:r w:rsidR="002C1FA8">
              <w:rPr>
                <w:rFonts w:cs="Calibri"/>
                <w:b/>
                <w:sz w:val="22"/>
                <w:szCs w:val="22"/>
              </w:rPr>
              <w:t>Event</w:t>
            </w:r>
          </w:p>
        </w:tc>
        <w:tc>
          <w:tcPr>
            <w:tcW w:w="985" w:type="dxa"/>
            <w:tcBorders>
              <w:left w:val="nil"/>
              <w:bottom w:val="single" w:sz="4" w:space="0" w:color="auto"/>
              <w:right w:val="single" w:sz="4" w:space="0" w:color="auto"/>
            </w:tcBorders>
            <w:shd w:val="clear" w:color="000000" w:fill="FFFFFF"/>
            <w:noWrap/>
            <w:vAlign w:val="bottom"/>
            <w:hideMark/>
          </w:tcPr>
          <w:p w14:paraId="26E4F60D" w14:textId="77777777" w:rsidR="005A50F8" w:rsidRPr="00237521" w:rsidRDefault="005A50F8" w:rsidP="005A50F8">
            <w:pPr>
              <w:keepNext/>
              <w:jc w:val="center"/>
              <w:rPr>
                <w:rFonts w:cs="Calibri"/>
                <w:b/>
                <w:sz w:val="22"/>
                <w:szCs w:val="22"/>
              </w:rPr>
            </w:pPr>
            <w:r w:rsidRPr="00237521">
              <w:rPr>
                <w:rFonts w:cs="Calibri"/>
                <w:b/>
                <w:sz w:val="22"/>
                <w:szCs w:val="22"/>
              </w:rPr>
              <w:t>2,847</w:t>
            </w:r>
          </w:p>
        </w:tc>
        <w:tc>
          <w:tcPr>
            <w:tcW w:w="1076" w:type="dxa"/>
            <w:tcBorders>
              <w:left w:val="nil"/>
              <w:bottom w:val="single" w:sz="4" w:space="0" w:color="auto"/>
              <w:right w:val="single" w:sz="4" w:space="0" w:color="auto"/>
            </w:tcBorders>
            <w:shd w:val="clear" w:color="000000" w:fill="FFFFFF"/>
            <w:noWrap/>
            <w:vAlign w:val="bottom"/>
            <w:hideMark/>
          </w:tcPr>
          <w:p w14:paraId="38C011B0" w14:textId="77777777" w:rsidR="005A50F8" w:rsidRPr="00237521" w:rsidRDefault="005A50F8" w:rsidP="005A50F8">
            <w:pPr>
              <w:keepNext/>
              <w:jc w:val="center"/>
              <w:rPr>
                <w:rFonts w:cs="Calibri"/>
                <w:b/>
                <w:sz w:val="22"/>
                <w:szCs w:val="22"/>
              </w:rPr>
            </w:pPr>
            <w:r w:rsidRPr="00237521">
              <w:rPr>
                <w:rFonts w:cs="Calibri"/>
                <w:b/>
                <w:sz w:val="22"/>
                <w:szCs w:val="22"/>
              </w:rPr>
              <w:t>3.36</w:t>
            </w:r>
          </w:p>
        </w:tc>
        <w:tc>
          <w:tcPr>
            <w:tcW w:w="1076" w:type="dxa"/>
            <w:tcBorders>
              <w:left w:val="nil"/>
              <w:bottom w:val="single" w:sz="4" w:space="0" w:color="auto"/>
              <w:right w:val="single" w:sz="4" w:space="0" w:color="auto"/>
            </w:tcBorders>
            <w:shd w:val="clear" w:color="000000" w:fill="FFFFFF"/>
            <w:noWrap/>
            <w:vAlign w:val="bottom"/>
            <w:hideMark/>
          </w:tcPr>
          <w:p w14:paraId="3B7352EC" w14:textId="77777777" w:rsidR="005A50F8" w:rsidRPr="00237521" w:rsidRDefault="005A50F8" w:rsidP="005A50F8">
            <w:pPr>
              <w:keepNext/>
              <w:jc w:val="center"/>
              <w:rPr>
                <w:rFonts w:cs="Calibri"/>
                <w:b/>
                <w:sz w:val="22"/>
                <w:szCs w:val="22"/>
              </w:rPr>
            </w:pPr>
            <w:r w:rsidRPr="00237521">
              <w:rPr>
                <w:rFonts w:cs="Calibri"/>
                <w:b/>
                <w:sz w:val="22"/>
                <w:szCs w:val="22"/>
              </w:rPr>
              <w:t>0.47</w:t>
            </w:r>
          </w:p>
        </w:tc>
        <w:tc>
          <w:tcPr>
            <w:tcW w:w="989" w:type="dxa"/>
            <w:tcBorders>
              <w:left w:val="nil"/>
              <w:bottom w:val="single" w:sz="4" w:space="0" w:color="auto"/>
              <w:right w:val="single" w:sz="4" w:space="0" w:color="auto"/>
            </w:tcBorders>
            <w:shd w:val="clear" w:color="000000" w:fill="FFFFFF"/>
            <w:noWrap/>
            <w:vAlign w:val="bottom"/>
            <w:hideMark/>
          </w:tcPr>
          <w:p w14:paraId="5240F43C" w14:textId="77777777" w:rsidR="005A50F8" w:rsidRPr="00237521" w:rsidRDefault="005A50F8" w:rsidP="005A50F8">
            <w:pPr>
              <w:keepNext/>
              <w:jc w:val="center"/>
              <w:rPr>
                <w:rFonts w:cs="Calibri"/>
                <w:b/>
                <w:sz w:val="22"/>
                <w:szCs w:val="22"/>
              </w:rPr>
            </w:pPr>
            <w:r w:rsidRPr="00237521">
              <w:rPr>
                <w:rFonts w:cs="Calibri"/>
                <w:b/>
                <w:sz w:val="22"/>
                <w:szCs w:val="22"/>
              </w:rPr>
              <w:t>1.18</w:t>
            </w:r>
          </w:p>
        </w:tc>
        <w:tc>
          <w:tcPr>
            <w:tcW w:w="989" w:type="dxa"/>
            <w:tcBorders>
              <w:left w:val="nil"/>
              <w:bottom w:val="single" w:sz="4" w:space="0" w:color="auto"/>
              <w:right w:val="single" w:sz="4" w:space="0" w:color="auto"/>
            </w:tcBorders>
            <w:shd w:val="clear" w:color="000000" w:fill="FFFFFF"/>
            <w:noWrap/>
            <w:vAlign w:val="bottom"/>
            <w:hideMark/>
          </w:tcPr>
          <w:p w14:paraId="20E68D19" w14:textId="77777777" w:rsidR="005A50F8" w:rsidRPr="00237521" w:rsidRDefault="005A50F8" w:rsidP="005A50F8">
            <w:pPr>
              <w:keepNext/>
              <w:jc w:val="center"/>
              <w:rPr>
                <w:rFonts w:cs="Calibri"/>
                <w:b/>
                <w:sz w:val="22"/>
                <w:szCs w:val="22"/>
              </w:rPr>
            </w:pPr>
            <w:r w:rsidRPr="00237521">
              <w:rPr>
                <w:rFonts w:cs="Calibri"/>
                <w:b/>
                <w:sz w:val="22"/>
                <w:szCs w:val="22"/>
              </w:rPr>
              <w:t>0.17</w:t>
            </w:r>
          </w:p>
        </w:tc>
        <w:tc>
          <w:tcPr>
            <w:tcW w:w="960" w:type="dxa"/>
            <w:tcBorders>
              <w:left w:val="nil"/>
              <w:bottom w:val="single" w:sz="4" w:space="0" w:color="auto"/>
              <w:right w:val="single" w:sz="4" w:space="0" w:color="auto"/>
            </w:tcBorders>
            <w:shd w:val="clear" w:color="000000" w:fill="FFFFFF"/>
            <w:noWrap/>
            <w:vAlign w:val="bottom"/>
            <w:hideMark/>
          </w:tcPr>
          <w:p w14:paraId="47BFAFC1" w14:textId="77777777" w:rsidR="005A50F8" w:rsidRPr="00237521" w:rsidRDefault="005A50F8" w:rsidP="005A50F8">
            <w:pPr>
              <w:keepNext/>
              <w:jc w:val="center"/>
              <w:rPr>
                <w:rFonts w:cs="Calibri"/>
                <w:b/>
                <w:sz w:val="22"/>
                <w:szCs w:val="22"/>
              </w:rPr>
            </w:pPr>
            <w:r w:rsidRPr="00237521">
              <w:rPr>
                <w:rFonts w:cs="Calibri"/>
                <w:b/>
                <w:sz w:val="22"/>
                <w:szCs w:val="22"/>
              </w:rPr>
              <w:t>14%</w:t>
            </w:r>
          </w:p>
        </w:tc>
        <w:tc>
          <w:tcPr>
            <w:tcW w:w="960" w:type="dxa"/>
            <w:tcBorders>
              <w:left w:val="nil"/>
              <w:bottom w:val="single" w:sz="4" w:space="0" w:color="auto"/>
              <w:right w:val="single" w:sz="4" w:space="0" w:color="auto"/>
            </w:tcBorders>
            <w:shd w:val="clear" w:color="000000" w:fill="FFFFFF"/>
            <w:noWrap/>
            <w:vAlign w:val="bottom"/>
            <w:hideMark/>
          </w:tcPr>
          <w:p w14:paraId="1FC65762" w14:textId="77777777" w:rsidR="005A50F8" w:rsidRPr="00237521" w:rsidRDefault="005A50F8" w:rsidP="005A50F8">
            <w:pPr>
              <w:keepNext/>
              <w:jc w:val="center"/>
              <w:rPr>
                <w:rFonts w:cs="Calibri"/>
                <w:b/>
                <w:sz w:val="22"/>
                <w:szCs w:val="22"/>
              </w:rPr>
            </w:pPr>
            <w:r w:rsidRPr="00237521">
              <w:rPr>
                <w:rFonts w:cs="Calibri"/>
                <w:b/>
                <w:sz w:val="22"/>
                <w:szCs w:val="22"/>
              </w:rPr>
              <w:t>89</w:t>
            </w:r>
          </w:p>
        </w:tc>
      </w:tr>
      <w:tr w:rsidR="005A50F8" w:rsidRPr="005A50F8" w14:paraId="60F7EF28" w14:textId="77777777" w:rsidTr="002C1FA8">
        <w:trPr>
          <w:trHeight w:val="20"/>
          <w:jc w:val="center"/>
        </w:trPr>
        <w:tc>
          <w:tcPr>
            <w:tcW w:w="35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4E81D8BF" w14:textId="77777777" w:rsidR="005A50F8" w:rsidRPr="005A50F8" w:rsidRDefault="005A50F8" w:rsidP="005A50F8">
            <w:pPr>
              <w:keepNext/>
              <w:jc w:val="center"/>
              <w:rPr>
                <w:rFonts w:cs="Calibri"/>
                <w:sz w:val="22"/>
                <w:szCs w:val="22"/>
              </w:rPr>
            </w:pPr>
            <w:r w:rsidRPr="005A50F8">
              <w:rPr>
                <w:rFonts w:cs="Calibri"/>
                <w:sz w:val="22"/>
                <w:szCs w:val="22"/>
              </w:rPr>
              <w:t>Inland</w:t>
            </w:r>
          </w:p>
        </w:tc>
        <w:tc>
          <w:tcPr>
            <w:tcW w:w="2520" w:type="dxa"/>
            <w:tcBorders>
              <w:top w:val="nil"/>
              <w:left w:val="nil"/>
              <w:bottom w:val="nil"/>
              <w:right w:val="single" w:sz="4" w:space="0" w:color="auto"/>
            </w:tcBorders>
            <w:shd w:val="clear" w:color="000000" w:fill="FFFFFF"/>
            <w:noWrap/>
            <w:vAlign w:val="bottom"/>
            <w:hideMark/>
          </w:tcPr>
          <w:p w14:paraId="6665041B" w14:textId="77777777" w:rsidR="005A50F8" w:rsidRPr="005A50F8" w:rsidRDefault="005A50F8" w:rsidP="005A50F8">
            <w:pPr>
              <w:keepNext/>
              <w:jc w:val="right"/>
              <w:rPr>
                <w:rFonts w:cs="Calibri"/>
                <w:sz w:val="22"/>
                <w:szCs w:val="22"/>
              </w:rPr>
            </w:pPr>
            <w:r w:rsidRPr="005A50F8">
              <w:rPr>
                <w:rFonts w:cs="Calibri"/>
                <w:sz w:val="22"/>
                <w:szCs w:val="22"/>
              </w:rPr>
              <w:t>Aug 31, 2017</w:t>
            </w:r>
          </w:p>
        </w:tc>
        <w:tc>
          <w:tcPr>
            <w:tcW w:w="985" w:type="dxa"/>
            <w:tcBorders>
              <w:top w:val="nil"/>
              <w:left w:val="nil"/>
              <w:bottom w:val="nil"/>
              <w:right w:val="single" w:sz="4" w:space="0" w:color="auto"/>
            </w:tcBorders>
            <w:shd w:val="clear" w:color="000000" w:fill="FFFFFF"/>
            <w:noWrap/>
            <w:vAlign w:val="bottom"/>
            <w:hideMark/>
          </w:tcPr>
          <w:p w14:paraId="4C5B6F27" w14:textId="77777777" w:rsidR="005A50F8" w:rsidRPr="005A50F8" w:rsidRDefault="005A50F8" w:rsidP="005A50F8">
            <w:pPr>
              <w:keepNext/>
              <w:jc w:val="center"/>
              <w:rPr>
                <w:rFonts w:cs="Calibri"/>
                <w:sz w:val="22"/>
                <w:szCs w:val="22"/>
              </w:rPr>
            </w:pPr>
            <w:r w:rsidRPr="005A50F8">
              <w:rPr>
                <w:rFonts w:cs="Calibri"/>
                <w:sz w:val="22"/>
                <w:szCs w:val="22"/>
              </w:rPr>
              <w:t>2,087</w:t>
            </w:r>
          </w:p>
        </w:tc>
        <w:tc>
          <w:tcPr>
            <w:tcW w:w="1076" w:type="dxa"/>
            <w:tcBorders>
              <w:top w:val="nil"/>
              <w:left w:val="nil"/>
              <w:bottom w:val="nil"/>
              <w:right w:val="single" w:sz="4" w:space="0" w:color="auto"/>
            </w:tcBorders>
            <w:shd w:val="clear" w:color="000000" w:fill="FFFFFF"/>
            <w:noWrap/>
            <w:vAlign w:val="bottom"/>
            <w:hideMark/>
          </w:tcPr>
          <w:p w14:paraId="6AC401DC" w14:textId="77777777" w:rsidR="005A50F8" w:rsidRPr="005A50F8" w:rsidRDefault="005A50F8" w:rsidP="005A50F8">
            <w:pPr>
              <w:keepNext/>
              <w:jc w:val="center"/>
              <w:rPr>
                <w:rFonts w:cs="Calibri"/>
                <w:sz w:val="22"/>
                <w:szCs w:val="22"/>
              </w:rPr>
            </w:pPr>
            <w:r w:rsidRPr="005A50F8">
              <w:rPr>
                <w:rFonts w:cs="Calibri"/>
                <w:sz w:val="22"/>
                <w:szCs w:val="22"/>
              </w:rPr>
              <w:t>3.18</w:t>
            </w:r>
          </w:p>
        </w:tc>
        <w:tc>
          <w:tcPr>
            <w:tcW w:w="1076" w:type="dxa"/>
            <w:tcBorders>
              <w:top w:val="nil"/>
              <w:left w:val="nil"/>
              <w:bottom w:val="nil"/>
              <w:right w:val="single" w:sz="4" w:space="0" w:color="auto"/>
            </w:tcBorders>
            <w:shd w:val="clear" w:color="000000" w:fill="FFFFFF"/>
            <w:noWrap/>
            <w:vAlign w:val="bottom"/>
            <w:hideMark/>
          </w:tcPr>
          <w:p w14:paraId="7C8834D4" w14:textId="77777777" w:rsidR="005A50F8" w:rsidRPr="005A50F8" w:rsidRDefault="005A50F8" w:rsidP="005A50F8">
            <w:pPr>
              <w:keepNext/>
              <w:jc w:val="center"/>
              <w:rPr>
                <w:rFonts w:cs="Calibri"/>
                <w:sz w:val="22"/>
                <w:szCs w:val="22"/>
              </w:rPr>
            </w:pPr>
            <w:r w:rsidRPr="005A50F8">
              <w:rPr>
                <w:rFonts w:cs="Calibri"/>
                <w:sz w:val="22"/>
                <w:szCs w:val="22"/>
              </w:rPr>
              <w:t>0.39</w:t>
            </w:r>
          </w:p>
        </w:tc>
        <w:tc>
          <w:tcPr>
            <w:tcW w:w="989" w:type="dxa"/>
            <w:tcBorders>
              <w:top w:val="nil"/>
              <w:left w:val="nil"/>
              <w:bottom w:val="nil"/>
              <w:right w:val="single" w:sz="4" w:space="0" w:color="auto"/>
            </w:tcBorders>
            <w:shd w:val="clear" w:color="000000" w:fill="FFFFFF"/>
            <w:noWrap/>
            <w:vAlign w:val="bottom"/>
            <w:hideMark/>
          </w:tcPr>
          <w:p w14:paraId="105F960A" w14:textId="77777777" w:rsidR="005A50F8" w:rsidRPr="005A50F8" w:rsidRDefault="005A50F8" w:rsidP="005A50F8">
            <w:pPr>
              <w:keepNext/>
              <w:jc w:val="center"/>
              <w:rPr>
                <w:rFonts w:cs="Calibri"/>
                <w:sz w:val="22"/>
                <w:szCs w:val="22"/>
              </w:rPr>
            </w:pPr>
            <w:r w:rsidRPr="005A50F8">
              <w:rPr>
                <w:rFonts w:cs="Calibri"/>
                <w:sz w:val="22"/>
                <w:szCs w:val="22"/>
              </w:rPr>
              <w:t>1.52</w:t>
            </w:r>
          </w:p>
        </w:tc>
        <w:tc>
          <w:tcPr>
            <w:tcW w:w="989" w:type="dxa"/>
            <w:tcBorders>
              <w:top w:val="nil"/>
              <w:left w:val="nil"/>
              <w:bottom w:val="nil"/>
              <w:right w:val="single" w:sz="4" w:space="0" w:color="auto"/>
            </w:tcBorders>
            <w:shd w:val="clear" w:color="000000" w:fill="FFFFFF"/>
            <w:noWrap/>
            <w:vAlign w:val="bottom"/>
            <w:hideMark/>
          </w:tcPr>
          <w:p w14:paraId="3E0BBC33" w14:textId="77777777" w:rsidR="005A50F8" w:rsidRPr="005A50F8" w:rsidRDefault="005A50F8" w:rsidP="005A50F8">
            <w:pPr>
              <w:keepNext/>
              <w:jc w:val="center"/>
              <w:rPr>
                <w:rFonts w:cs="Calibri"/>
                <w:sz w:val="22"/>
                <w:szCs w:val="22"/>
              </w:rPr>
            </w:pPr>
            <w:r w:rsidRPr="005A50F8">
              <w:rPr>
                <w:rFonts w:cs="Calibri"/>
                <w:sz w:val="22"/>
                <w:szCs w:val="22"/>
              </w:rPr>
              <w:t>0.19</w:t>
            </w:r>
          </w:p>
        </w:tc>
        <w:tc>
          <w:tcPr>
            <w:tcW w:w="960" w:type="dxa"/>
            <w:tcBorders>
              <w:top w:val="nil"/>
              <w:left w:val="nil"/>
              <w:bottom w:val="nil"/>
              <w:right w:val="single" w:sz="4" w:space="0" w:color="auto"/>
            </w:tcBorders>
            <w:shd w:val="clear" w:color="000000" w:fill="FFFFFF"/>
            <w:noWrap/>
            <w:vAlign w:val="bottom"/>
            <w:hideMark/>
          </w:tcPr>
          <w:p w14:paraId="633FBDB4" w14:textId="77777777" w:rsidR="005A50F8" w:rsidRPr="005A50F8" w:rsidRDefault="005A50F8" w:rsidP="005A50F8">
            <w:pPr>
              <w:keepNext/>
              <w:jc w:val="center"/>
              <w:rPr>
                <w:rFonts w:cs="Calibri"/>
                <w:sz w:val="22"/>
                <w:szCs w:val="22"/>
              </w:rPr>
            </w:pPr>
            <w:r w:rsidRPr="005A50F8">
              <w:rPr>
                <w:rFonts w:cs="Calibri"/>
                <w:sz w:val="22"/>
                <w:szCs w:val="22"/>
              </w:rPr>
              <w:t>12%</w:t>
            </w:r>
          </w:p>
        </w:tc>
        <w:tc>
          <w:tcPr>
            <w:tcW w:w="960" w:type="dxa"/>
            <w:tcBorders>
              <w:top w:val="nil"/>
              <w:left w:val="nil"/>
              <w:bottom w:val="nil"/>
              <w:right w:val="single" w:sz="4" w:space="0" w:color="auto"/>
            </w:tcBorders>
            <w:shd w:val="clear" w:color="000000" w:fill="FFFFFF"/>
            <w:noWrap/>
            <w:vAlign w:val="bottom"/>
            <w:hideMark/>
          </w:tcPr>
          <w:p w14:paraId="1F5D7FAE" w14:textId="77777777" w:rsidR="005A50F8" w:rsidRPr="005A50F8" w:rsidRDefault="005A50F8" w:rsidP="005A50F8">
            <w:pPr>
              <w:keepNext/>
              <w:jc w:val="center"/>
              <w:rPr>
                <w:rFonts w:cs="Calibri"/>
                <w:sz w:val="22"/>
                <w:szCs w:val="22"/>
              </w:rPr>
            </w:pPr>
            <w:r w:rsidRPr="005A50F8">
              <w:rPr>
                <w:rFonts w:cs="Calibri"/>
                <w:sz w:val="22"/>
                <w:szCs w:val="22"/>
              </w:rPr>
              <w:t>92</w:t>
            </w:r>
          </w:p>
        </w:tc>
      </w:tr>
      <w:tr w:rsidR="005A50F8" w:rsidRPr="005A50F8" w14:paraId="39E96CD8" w14:textId="77777777" w:rsidTr="002C1FA8">
        <w:trPr>
          <w:trHeight w:val="20"/>
          <w:jc w:val="center"/>
        </w:trPr>
        <w:tc>
          <w:tcPr>
            <w:tcW w:w="355" w:type="dxa"/>
            <w:vMerge/>
            <w:tcBorders>
              <w:top w:val="nil"/>
              <w:left w:val="single" w:sz="4" w:space="0" w:color="auto"/>
              <w:bottom w:val="single" w:sz="4" w:space="0" w:color="000000"/>
              <w:right w:val="single" w:sz="4" w:space="0" w:color="auto"/>
            </w:tcBorders>
            <w:vAlign w:val="center"/>
            <w:hideMark/>
          </w:tcPr>
          <w:p w14:paraId="229EAD2C" w14:textId="77777777" w:rsidR="005A50F8" w:rsidRPr="005A50F8" w:rsidRDefault="005A50F8" w:rsidP="005A50F8">
            <w:pPr>
              <w:keepNext/>
              <w:rPr>
                <w:rFonts w:cs="Calibri"/>
                <w:sz w:val="22"/>
                <w:szCs w:val="22"/>
              </w:rPr>
            </w:pPr>
          </w:p>
        </w:tc>
        <w:tc>
          <w:tcPr>
            <w:tcW w:w="2520" w:type="dxa"/>
            <w:tcBorders>
              <w:top w:val="nil"/>
              <w:left w:val="nil"/>
              <w:bottom w:val="nil"/>
              <w:right w:val="single" w:sz="4" w:space="0" w:color="auto"/>
            </w:tcBorders>
            <w:shd w:val="clear" w:color="000000" w:fill="FFFFFF"/>
            <w:noWrap/>
            <w:vAlign w:val="bottom"/>
            <w:hideMark/>
          </w:tcPr>
          <w:p w14:paraId="3C662A15" w14:textId="65598673" w:rsidR="005A50F8" w:rsidRPr="005A50F8" w:rsidRDefault="009B006F" w:rsidP="005A50F8">
            <w:pPr>
              <w:keepNext/>
              <w:jc w:val="right"/>
              <w:rPr>
                <w:rFonts w:cs="Calibri"/>
                <w:sz w:val="22"/>
                <w:szCs w:val="22"/>
              </w:rPr>
            </w:pPr>
            <w:r>
              <w:rPr>
                <w:rFonts w:cs="Calibri"/>
                <w:sz w:val="22"/>
                <w:szCs w:val="22"/>
              </w:rPr>
              <w:t>Sep</w:t>
            </w:r>
            <w:r w:rsidR="005A50F8" w:rsidRPr="005A50F8">
              <w:rPr>
                <w:rFonts w:cs="Calibri"/>
                <w:sz w:val="22"/>
                <w:szCs w:val="22"/>
              </w:rPr>
              <w:t xml:space="preserve"> 1, 2017</w:t>
            </w:r>
          </w:p>
        </w:tc>
        <w:tc>
          <w:tcPr>
            <w:tcW w:w="985" w:type="dxa"/>
            <w:tcBorders>
              <w:top w:val="nil"/>
              <w:left w:val="nil"/>
              <w:bottom w:val="nil"/>
              <w:right w:val="single" w:sz="4" w:space="0" w:color="auto"/>
            </w:tcBorders>
            <w:shd w:val="clear" w:color="000000" w:fill="FFFFFF"/>
            <w:noWrap/>
            <w:vAlign w:val="bottom"/>
            <w:hideMark/>
          </w:tcPr>
          <w:p w14:paraId="36692AD7" w14:textId="77777777" w:rsidR="005A50F8" w:rsidRPr="005A50F8" w:rsidRDefault="005A50F8" w:rsidP="005A50F8">
            <w:pPr>
              <w:keepNext/>
              <w:jc w:val="center"/>
              <w:rPr>
                <w:rFonts w:cs="Calibri"/>
                <w:sz w:val="22"/>
                <w:szCs w:val="22"/>
              </w:rPr>
            </w:pPr>
            <w:r w:rsidRPr="005A50F8">
              <w:rPr>
                <w:rFonts w:cs="Calibri"/>
                <w:sz w:val="22"/>
                <w:szCs w:val="22"/>
              </w:rPr>
              <w:t>2,090</w:t>
            </w:r>
          </w:p>
        </w:tc>
        <w:tc>
          <w:tcPr>
            <w:tcW w:w="1076" w:type="dxa"/>
            <w:tcBorders>
              <w:top w:val="nil"/>
              <w:left w:val="nil"/>
              <w:bottom w:val="nil"/>
              <w:right w:val="single" w:sz="4" w:space="0" w:color="auto"/>
            </w:tcBorders>
            <w:shd w:val="clear" w:color="000000" w:fill="FFFFFF"/>
            <w:noWrap/>
            <w:vAlign w:val="bottom"/>
            <w:hideMark/>
          </w:tcPr>
          <w:p w14:paraId="7B9D5152" w14:textId="77777777" w:rsidR="005A50F8" w:rsidRPr="005A50F8" w:rsidRDefault="005A50F8" w:rsidP="005A50F8">
            <w:pPr>
              <w:keepNext/>
              <w:jc w:val="center"/>
              <w:rPr>
                <w:rFonts w:cs="Calibri"/>
                <w:sz w:val="22"/>
                <w:szCs w:val="22"/>
              </w:rPr>
            </w:pPr>
            <w:r w:rsidRPr="005A50F8">
              <w:rPr>
                <w:rFonts w:cs="Calibri"/>
                <w:sz w:val="22"/>
                <w:szCs w:val="22"/>
              </w:rPr>
              <w:t>3.69</w:t>
            </w:r>
          </w:p>
        </w:tc>
        <w:tc>
          <w:tcPr>
            <w:tcW w:w="1076" w:type="dxa"/>
            <w:tcBorders>
              <w:top w:val="nil"/>
              <w:left w:val="nil"/>
              <w:bottom w:val="nil"/>
              <w:right w:val="single" w:sz="4" w:space="0" w:color="auto"/>
            </w:tcBorders>
            <w:shd w:val="clear" w:color="000000" w:fill="FFFFFF"/>
            <w:noWrap/>
            <w:vAlign w:val="bottom"/>
            <w:hideMark/>
          </w:tcPr>
          <w:p w14:paraId="5D45A11C" w14:textId="77777777" w:rsidR="005A50F8" w:rsidRPr="005A50F8" w:rsidRDefault="005A50F8" w:rsidP="005A50F8">
            <w:pPr>
              <w:keepNext/>
              <w:jc w:val="center"/>
              <w:rPr>
                <w:rFonts w:cs="Calibri"/>
                <w:sz w:val="22"/>
                <w:szCs w:val="22"/>
              </w:rPr>
            </w:pPr>
            <w:r w:rsidRPr="005A50F8">
              <w:rPr>
                <w:rFonts w:cs="Calibri"/>
                <w:sz w:val="22"/>
                <w:szCs w:val="22"/>
              </w:rPr>
              <w:t>0.48</w:t>
            </w:r>
          </w:p>
        </w:tc>
        <w:tc>
          <w:tcPr>
            <w:tcW w:w="989" w:type="dxa"/>
            <w:tcBorders>
              <w:top w:val="nil"/>
              <w:left w:val="nil"/>
              <w:bottom w:val="nil"/>
              <w:right w:val="single" w:sz="4" w:space="0" w:color="auto"/>
            </w:tcBorders>
            <w:shd w:val="clear" w:color="000000" w:fill="FFFFFF"/>
            <w:noWrap/>
            <w:vAlign w:val="bottom"/>
            <w:hideMark/>
          </w:tcPr>
          <w:p w14:paraId="5342A5C8" w14:textId="77777777" w:rsidR="005A50F8" w:rsidRPr="005A50F8" w:rsidRDefault="005A50F8" w:rsidP="005A50F8">
            <w:pPr>
              <w:keepNext/>
              <w:jc w:val="center"/>
              <w:rPr>
                <w:rFonts w:cs="Calibri"/>
                <w:sz w:val="22"/>
                <w:szCs w:val="22"/>
              </w:rPr>
            </w:pPr>
            <w:r w:rsidRPr="005A50F8">
              <w:rPr>
                <w:rFonts w:cs="Calibri"/>
                <w:sz w:val="22"/>
                <w:szCs w:val="22"/>
              </w:rPr>
              <w:t>1.77</w:t>
            </w:r>
          </w:p>
        </w:tc>
        <w:tc>
          <w:tcPr>
            <w:tcW w:w="989" w:type="dxa"/>
            <w:tcBorders>
              <w:top w:val="nil"/>
              <w:left w:val="nil"/>
              <w:bottom w:val="nil"/>
              <w:right w:val="single" w:sz="4" w:space="0" w:color="auto"/>
            </w:tcBorders>
            <w:shd w:val="clear" w:color="000000" w:fill="FFFFFF"/>
            <w:noWrap/>
            <w:vAlign w:val="bottom"/>
            <w:hideMark/>
          </w:tcPr>
          <w:p w14:paraId="3EDED81A" w14:textId="77777777" w:rsidR="005A50F8" w:rsidRPr="005A50F8" w:rsidRDefault="005A50F8" w:rsidP="005A50F8">
            <w:pPr>
              <w:keepNext/>
              <w:jc w:val="center"/>
              <w:rPr>
                <w:rFonts w:cs="Calibri"/>
                <w:sz w:val="22"/>
                <w:szCs w:val="22"/>
              </w:rPr>
            </w:pPr>
            <w:r w:rsidRPr="005A50F8">
              <w:rPr>
                <w:rFonts w:cs="Calibri"/>
                <w:sz w:val="22"/>
                <w:szCs w:val="22"/>
              </w:rPr>
              <w:t>0.23</w:t>
            </w:r>
          </w:p>
        </w:tc>
        <w:tc>
          <w:tcPr>
            <w:tcW w:w="960" w:type="dxa"/>
            <w:tcBorders>
              <w:top w:val="nil"/>
              <w:left w:val="nil"/>
              <w:bottom w:val="nil"/>
              <w:right w:val="single" w:sz="4" w:space="0" w:color="auto"/>
            </w:tcBorders>
            <w:shd w:val="clear" w:color="000000" w:fill="FFFFFF"/>
            <w:noWrap/>
            <w:vAlign w:val="bottom"/>
            <w:hideMark/>
          </w:tcPr>
          <w:p w14:paraId="06152D3F" w14:textId="77777777" w:rsidR="005A50F8" w:rsidRPr="005A50F8" w:rsidRDefault="005A50F8" w:rsidP="005A50F8">
            <w:pPr>
              <w:keepNext/>
              <w:jc w:val="center"/>
              <w:rPr>
                <w:rFonts w:cs="Calibri"/>
                <w:sz w:val="22"/>
                <w:szCs w:val="22"/>
              </w:rPr>
            </w:pPr>
            <w:r w:rsidRPr="005A50F8">
              <w:rPr>
                <w:rFonts w:cs="Calibri"/>
                <w:sz w:val="22"/>
                <w:szCs w:val="22"/>
              </w:rPr>
              <w:t>13%</w:t>
            </w:r>
          </w:p>
        </w:tc>
        <w:tc>
          <w:tcPr>
            <w:tcW w:w="960" w:type="dxa"/>
            <w:tcBorders>
              <w:top w:val="nil"/>
              <w:left w:val="nil"/>
              <w:bottom w:val="nil"/>
              <w:right w:val="single" w:sz="4" w:space="0" w:color="auto"/>
            </w:tcBorders>
            <w:shd w:val="clear" w:color="000000" w:fill="FFFFFF"/>
            <w:noWrap/>
            <w:vAlign w:val="bottom"/>
            <w:hideMark/>
          </w:tcPr>
          <w:p w14:paraId="75758E85" w14:textId="77777777" w:rsidR="005A50F8" w:rsidRPr="005A50F8" w:rsidRDefault="005A50F8" w:rsidP="005A50F8">
            <w:pPr>
              <w:keepNext/>
              <w:jc w:val="center"/>
              <w:rPr>
                <w:rFonts w:cs="Calibri"/>
                <w:sz w:val="22"/>
                <w:szCs w:val="22"/>
              </w:rPr>
            </w:pPr>
            <w:r w:rsidRPr="005A50F8">
              <w:rPr>
                <w:rFonts w:cs="Calibri"/>
                <w:sz w:val="22"/>
                <w:szCs w:val="22"/>
              </w:rPr>
              <w:t>98</w:t>
            </w:r>
          </w:p>
        </w:tc>
      </w:tr>
      <w:tr w:rsidR="005A50F8" w:rsidRPr="005A50F8" w14:paraId="5293FA7E" w14:textId="77777777" w:rsidTr="002C1FA8">
        <w:trPr>
          <w:trHeight w:val="20"/>
          <w:jc w:val="center"/>
        </w:trPr>
        <w:tc>
          <w:tcPr>
            <w:tcW w:w="355" w:type="dxa"/>
            <w:vMerge/>
            <w:tcBorders>
              <w:top w:val="nil"/>
              <w:left w:val="single" w:sz="4" w:space="0" w:color="auto"/>
              <w:bottom w:val="single" w:sz="4" w:space="0" w:color="000000"/>
              <w:right w:val="single" w:sz="4" w:space="0" w:color="auto"/>
            </w:tcBorders>
            <w:vAlign w:val="center"/>
            <w:hideMark/>
          </w:tcPr>
          <w:p w14:paraId="4B015CEE" w14:textId="77777777" w:rsidR="005A50F8" w:rsidRPr="005A50F8" w:rsidRDefault="005A50F8" w:rsidP="005A50F8">
            <w:pPr>
              <w:keepNext/>
              <w:rPr>
                <w:rFonts w:cs="Calibri"/>
                <w:sz w:val="22"/>
                <w:szCs w:val="22"/>
              </w:rPr>
            </w:pPr>
          </w:p>
        </w:tc>
        <w:tc>
          <w:tcPr>
            <w:tcW w:w="2520" w:type="dxa"/>
            <w:tcBorders>
              <w:top w:val="nil"/>
              <w:left w:val="nil"/>
              <w:bottom w:val="nil"/>
              <w:right w:val="single" w:sz="4" w:space="0" w:color="auto"/>
            </w:tcBorders>
            <w:shd w:val="clear" w:color="000000" w:fill="FFFFFF"/>
            <w:noWrap/>
            <w:vAlign w:val="bottom"/>
            <w:hideMark/>
          </w:tcPr>
          <w:p w14:paraId="0E56F4B9" w14:textId="146A0E69" w:rsidR="005A50F8" w:rsidRPr="005A50F8" w:rsidRDefault="009B006F" w:rsidP="005A50F8">
            <w:pPr>
              <w:keepNext/>
              <w:jc w:val="right"/>
              <w:rPr>
                <w:rFonts w:cs="Calibri"/>
                <w:sz w:val="22"/>
                <w:szCs w:val="22"/>
              </w:rPr>
            </w:pPr>
            <w:r>
              <w:rPr>
                <w:rFonts w:cs="Calibri"/>
                <w:sz w:val="22"/>
                <w:szCs w:val="22"/>
              </w:rPr>
              <w:t>Sep</w:t>
            </w:r>
            <w:r w:rsidR="005A50F8" w:rsidRPr="005A50F8">
              <w:rPr>
                <w:rFonts w:cs="Calibri"/>
                <w:sz w:val="22"/>
                <w:szCs w:val="22"/>
              </w:rPr>
              <w:t xml:space="preserve"> 2, 2017</w:t>
            </w:r>
          </w:p>
        </w:tc>
        <w:tc>
          <w:tcPr>
            <w:tcW w:w="985" w:type="dxa"/>
            <w:tcBorders>
              <w:top w:val="nil"/>
              <w:left w:val="nil"/>
              <w:bottom w:val="nil"/>
              <w:right w:val="single" w:sz="4" w:space="0" w:color="auto"/>
            </w:tcBorders>
            <w:shd w:val="clear" w:color="000000" w:fill="FFFFFF"/>
            <w:noWrap/>
            <w:vAlign w:val="bottom"/>
            <w:hideMark/>
          </w:tcPr>
          <w:p w14:paraId="38F72404" w14:textId="77777777" w:rsidR="005A50F8" w:rsidRPr="005A50F8" w:rsidRDefault="005A50F8" w:rsidP="005A50F8">
            <w:pPr>
              <w:keepNext/>
              <w:jc w:val="center"/>
              <w:rPr>
                <w:rFonts w:cs="Calibri"/>
                <w:sz w:val="22"/>
                <w:szCs w:val="22"/>
              </w:rPr>
            </w:pPr>
            <w:r w:rsidRPr="005A50F8">
              <w:rPr>
                <w:rFonts w:cs="Calibri"/>
                <w:sz w:val="22"/>
                <w:szCs w:val="22"/>
              </w:rPr>
              <w:t>2,106</w:t>
            </w:r>
          </w:p>
        </w:tc>
        <w:tc>
          <w:tcPr>
            <w:tcW w:w="1076" w:type="dxa"/>
            <w:tcBorders>
              <w:top w:val="nil"/>
              <w:left w:val="nil"/>
              <w:bottom w:val="nil"/>
              <w:right w:val="single" w:sz="4" w:space="0" w:color="auto"/>
            </w:tcBorders>
            <w:shd w:val="clear" w:color="000000" w:fill="FFFFFF"/>
            <w:noWrap/>
            <w:vAlign w:val="bottom"/>
            <w:hideMark/>
          </w:tcPr>
          <w:p w14:paraId="7C2D79E0" w14:textId="77777777" w:rsidR="005A50F8" w:rsidRPr="005A50F8" w:rsidRDefault="005A50F8" w:rsidP="005A50F8">
            <w:pPr>
              <w:keepNext/>
              <w:jc w:val="center"/>
              <w:rPr>
                <w:rFonts w:cs="Calibri"/>
                <w:sz w:val="22"/>
                <w:szCs w:val="22"/>
              </w:rPr>
            </w:pPr>
            <w:r w:rsidRPr="005A50F8">
              <w:rPr>
                <w:rFonts w:cs="Calibri"/>
                <w:sz w:val="22"/>
                <w:szCs w:val="22"/>
              </w:rPr>
              <w:t>4.21</w:t>
            </w:r>
          </w:p>
        </w:tc>
        <w:tc>
          <w:tcPr>
            <w:tcW w:w="1076" w:type="dxa"/>
            <w:tcBorders>
              <w:top w:val="nil"/>
              <w:left w:val="nil"/>
              <w:bottom w:val="nil"/>
              <w:right w:val="single" w:sz="4" w:space="0" w:color="auto"/>
            </w:tcBorders>
            <w:shd w:val="clear" w:color="000000" w:fill="FFFFFF"/>
            <w:noWrap/>
            <w:vAlign w:val="bottom"/>
            <w:hideMark/>
          </w:tcPr>
          <w:p w14:paraId="77A99110" w14:textId="77777777" w:rsidR="005A50F8" w:rsidRPr="005A50F8" w:rsidRDefault="005A50F8" w:rsidP="005A50F8">
            <w:pPr>
              <w:keepNext/>
              <w:jc w:val="center"/>
              <w:rPr>
                <w:rFonts w:cs="Calibri"/>
                <w:sz w:val="22"/>
                <w:szCs w:val="22"/>
              </w:rPr>
            </w:pPr>
            <w:r w:rsidRPr="005A50F8">
              <w:rPr>
                <w:rFonts w:cs="Calibri"/>
                <w:sz w:val="22"/>
                <w:szCs w:val="22"/>
              </w:rPr>
              <w:t>0.25</w:t>
            </w:r>
          </w:p>
        </w:tc>
        <w:tc>
          <w:tcPr>
            <w:tcW w:w="989" w:type="dxa"/>
            <w:tcBorders>
              <w:top w:val="nil"/>
              <w:left w:val="nil"/>
              <w:bottom w:val="nil"/>
              <w:right w:val="single" w:sz="4" w:space="0" w:color="auto"/>
            </w:tcBorders>
            <w:shd w:val="clear" w:color="000000" w:fill="FFFFFF"/>
            <w:noWrap/>
            <w:vAlign w:val="bottom"/>
            <w:hideMark/>
          </w:tcPr>
          <w:p w14:paraId="3F2F1B68" w14:textId="77777777" w:rsidR="005A50F8" w:rsidRPr="005A50F8" w:rsidRDefault="005A50F8" w:rsidP="005A50F8">
            <w:pPr>
              <w:keepNext/>
              <w:jc w:val="center"/>
              <w:rPr>
                <w:rFonts w:cs="Calibri"/>
                <w:sz w:val="22"/>
                <w:szCs w:val="22"/>
              </w:rPr>
            </w:pPr>
            <w:r w:rsidRPr="005A50F8">
              <w:rPr>
                <w:rFonts w:cs="Calibri"/>
                <w:sz w:val="22"/>
                <w:szCs w:val="22"/>
              </w:rPr>
              <w:t>2.00</w:t>
            </w:r>
          </w:p>
        </w:tc>
        <w:tc>
          <w:tcPr>
            <w:tcW w:w="989" w:type="dxa"/>
            <w:tcBorders>
              <w:top w:val="nil"/>
              <w:left w:val="nil"/>
              <w:bottom w:val="nil"/>
              <w:right w:val="single" w:sz="4" w:space="0" w:color="auto"/>
            </w:tcBorders>
            <w:shd w:val="clear" w:color="000000" w:fill="FFFFFF"/>
            <w:noWrap/>
            <w:vAlign w:val="bottom"/>
            <w:hideMark/>
          </w:tcPr>
          <w:p w14:paraId="0D3B43B8" w14:textId="77777777" w:rsidR="005A50F8" w:rsidRPr="005A50F8" w:rsidRDefault="005A50F8" w:rsidP="005A50F8">
            <w:pPr>
              <w:keepNext/>
              <w:jc w:val="center"/>
              <w:rPr>
                <w:rFonts w:cs="Calibri"/>
                <w:sz w:val="22"/>
                <w:szCs w:val="22"/>
              </w:rPr>
            </w:pPr>
            <w:r w:rsidRPr="005A50F8">
              <w:rPr>
                <w:rFonts w:cs="Calibri"/>
                <w:sz w:val="22"/>
                <w:szCs w:val="22"/>
              </w:rPr>
              <w:t>0.12</w:t>
            </w:r>
          </w:p>
        </w:tc>
        <w:tc>
          <w:tcPr>
            <w:tcW w:w="960" w:type="dxa"/>
            <w:tcBorders>
              <w:top w:val="nil"/>
              <w:left w:val="nil"/>
              <w:bottom w:val="nil"/>
              <w:right w:val="single" w:sz="4" w:space="0" w:color="auto"/>
            </w:tcBorders>
            <w:shd w:val="clear" w:color="000000" w:fill="FFFFFF"/>
            <w:noWrap/>
            <w:vAlign w:val="bottom"/>
            <w:hideMark/>
          </w:tcPr>
          <w:p w14:paraId="35A1A2A4" w14:textId="77777777" w:rsidR="005A50F8" w:rsidRPr="005A50F8" w:rsidRDefault="005A50F8" w:rsidP="005A50F8">
            <w:pPr>
              <w:keepNext/>
              <w:jc w:val="center"/>
              <w:rPr>
                <w:rFonts w:cs="Calibri"/>
                <w:sz w:val="22"/>
                <w:szCs w:val="22"/>
              </w:rPr>
            </w:pPr>
            <w:r w:rsidRPr="005A50F8">
              <w:rPr>
                <w:rFonts w:cs="Calibri"/>
                <w:sz w:val="22"/>
                <w:szCs w:val="22"/>
              </w:rPr>
              <w:t>6%</w:t>
            </w:r>
          </w:p>
        </w:tc>
        <w:tc>
          <w:tcPr>
            <w:tcW w:w="960" w:type="dxa"/>
            <w:tcBorders>
              <w:top w:val="nil"/>
              <w:left w:val="nil"/>
              <w:bottom w:val="nil"/>
              <w:right w:val="single" w:sz="4" w:space="0" w:color="auto"/>
            </w:tcBorders>
            <w:shd w:val="clear" w:color="000000" w:fill="FFFFFF"/>
            <w:noWrap/>
            <w:vAlign w:val="bottom"/>
            <w:hideMark/>
          </w:tcPr>
          <w:p w14:paraId="14E93B48" w14:textId="77777777" w:rsidR="005A50F8" w:rsidRPr="005A50F8" w:rsidRDefault="005A50F8" w:rsidP="005A50F8">
            <w:pPr>
              <w:keepNext/>
              <w:jc w:val="center"/>
              <w:rPr>
                <w:rFonts w:cs="Calibri"/>
                <w:sz w:val="22"/>
                <w:szCs w:val="22"/>
              </w:rPr>
            </w:pPr>
            <w:r w:rsidRPr="005A50F8">
              <w:rPr>
                <w:rFonts w:cs="Calibri"/>
                <w:sz w:val="22"/>
                <w:szCs w:val="22"/>
              </w:rPr>
              <w:t>96</w:t>
            </w:r>
          </w:p>
        </w:tc>
      </w:tr>
      <w:tr w:rsidR="005A50F8" w:rsidRPr="005A50F8" w14:paraId="4DD948C9" w14:textId="77777777" w:rsidTr="002C1FA8">
        <w:trPr>
          <w:trHeight w:val="20"/>
          <w:jc w:val="center"/>
        </w:trPr>
        <w:tc>
          <w:tcPr>
            <w:tcW w:w="355" w:type="dxa"/>
            <w:vMerge/>
            <w:tcBorders>
              <w:top w:val="nil"/>
              <w:left w:val="single" w:sz="4" w:space="0" w:color="auto"/>
              <w:bottom w:val="single" w:sz="4" w:space="0" w:color="000000"/>
              <w:right w:val="single" w:sz="4" w:space="0" w:color="auto"/>
            </w:tcBorders>
            <w:vAlign w:val="center"/>
            <w:hideMark/>
          </w:tcPr>
          <w:p w14:paraId="11FD9C9A" w14:textId="77777777" w:rsidR="005A50F8" w:rsidRPr="005A50F8" w:rsidRDefault="005A50F8" w:rsidP="005A50F8">
            <w:pPr>
              <w:keepNext/>
              <w:rPr>
                <w:rFonts w:cs="Calibri"/>
                <w:sz w:val="22"/>
                <w:szCs w:val="22"/>
              </w:rPr>
            </w:pPr>
          </w:p>
        </w:tc>
        <w:tc>
          <w:tcPr>
            <w:tcW w:w="2520" w:type="dxa"/>
            <w:tcBorders>
              <w:top w:val="nil"/>
              <w:left w:val="nil"/>
              <w:bottom w:val="single" w:sz="4" w:space="0" w:color="auto"/>
              <w:right w:val="single" w:sz="4" w:space="0" w:color="auto"/>
            </w:tcBorders>
            <w:shd w:val="clear" w:color="auto" w:fill="FFFFFF" w:themeFill="background1"/>
            <w:noWrap/>
            <w:vAlign w:val="bottom"/>
            <w:hideMark/>
          </w:tcPr>
          <w:p w14:paraId="496D77D7" w14:textId="0086EC24" w:rsidR="005A50F8" w:rsidRPr="00237521" w:rsidRDefault="0050472E" w:rsidP="005A50F8">
            <w:pPr>
              <w:keepNext/>
              <w:jc w:val="right"/>
              <w:rPr>
                <w:rFonts w:cs="Calibri"/>
                <w:b/>
                <w:sz w:val="22"/>
                <w:szCs w:val="22"/>
              </w:rPr>
            </w:pPr>
            <w:r>
              <w:rPr>
                <w:rFonts w:cs="Calibri"/>
                <w:b/>
                <w:sz w:val="22"/>
                <w:szCs w:val="22"/>
              </w:rPr>
              <w:t>Average Weekday</w:t>
            </w:r>
            <w:r w:rsidR="002C1FA8">
              <w:rPr>
                <w:rFonts w:cs="Calibri"/>
                <w:b/>
                <w:sz w:val="22"/>
                <w:szCs w:val="22"/>
              </w:rPr>
              <w:t xml:space="preserve"> </w:t>
            </w:r>
            <w:r w:rsidR="002C1FA8">
              <w:rPr>
                <w:rFonts w:cs="Calibri"/>
                <w:b/>
                <w:sz w:val="22"/>
                <w:szCs w:val="22"/>
              </w:rPr>
              <w:t>Event</w:t>
            </w:r>
          </w:p>
        </w:tc>
        <w:tc>
          <w:tcPr>
            <w:tcW w:w="985" w:type="dxa"/>
            <w:tcBorders>
              <w:top w:val="nil"/>
              <w:left w:val="nil"/>
              <w:bottom w:val="single" w:sz="4" w:space="0" w:color="auto"/>
              <w:right w:val="single" w:sz="4" w:space="0" w:color="auto"/>
            </w:tcBorders>
            <w:shd w:val="clear" w:color="auto" w:fill="FFFFFF" w:themeFill="background1"/>
            <w:noWrap/>
            <w:vAlign w:val="bottom"/>
            <w:hideMark/>
          </w:tcPr>
          <w:p w14:paraId="079B6048" w14:textId="77777777" w:rsidR="005A50F8" w:rsidRPr="00237521" w:rsidRDefault="005A50F8" w:rsidP="005A50F8">
            <w:pPr>
              <w:keepNext/>
              <w:jc w:val="center"/>
              <w:rPr>
                <w:rFonts w:cs="Calibri"/>
                <w:b/>
                <w:sz w:val="22"/>
                <w:szCs w:val="22"/>
              </w:rPr>
            </w:pPr>
            <w:r w:rsidRPr="00237521">
              <w:rPr>
                <w:rFonts w:cs="Calibri"/>
                <w:b/>
                <w:sz w:val="22"/>
                <w:szCs w:val="22"/>
              </w:rPr>
              <w:t>2,089</w:t>
            </w:r>
          </w:p>
        </w:tc>
        <w:tc>
          <w:tcPr>
            <w:tcW w:w="1076" w:type="dxa"/>
            <w:tcBorders>
              <w:top w:val="nil"/>
              <w:left w:val="nil"/>
              <w:bottom w:val="single" w:sz="4" w:space="0" w:color="auto"/>
              <w:right w:val="single" w:sz="4" w:space="0" w:color="auto"/>
            </w:tcBorders>
            <w:shd w:val="clear" w:color="auto" w:fill="FFFFFF" w:themeFill="background1"/>
            <w:noWrap/>
            <w:vAlign w:val="bottom"/>
            <w:hideMark/>
          </w:tcPr>
          <w:p w14:paraId="6EC95038" w14:textId="77777777" w:rsidR="005A50F8" w:rsidRPr="00237521" w:rsidRDefault="005A50F8" w:rsidP="005A50F8">
            <w:pPr>
              <w:keepNext/>
              <w:jc w:val="center"/>
              <w:rPr>
                <w:rFonts w:cs="Calibri"/>
                <w:b/>
                <w:sz w:val="22"/>
                <w:szCs w:val="22"/>
              </w:rPr>
            </w:pPr>
            <w:r w:rsidRPr="00237521">
              <w:rPr>
                <w:rFonts w:cs="Calibri"/>
                <w:b/>
                <w:sz w:val="22"/>
                <w:szCs w:val="22"/>
              </w:rPr>
              <w:t>3.43</w:t>
            </w:r>
          </w:p>
        </w:tc>
        <w:tc>
          <w:tcPr>
            <w:tcW w:w="1076" w:type="dxa"/>
            <w:tcBorders>
              <w:top w:val="nil"/>
              <w:left w:val="nil"/>
              <w:bottom w:val="single" w:sz="4" w:space="0" w:color="auto"/>
              <w:right w:val="single" w:sz="4" w:space="0" w:color="auto"/>
            </w:tcBorders>
            <w:shd w:val="clear" w:color="auto" w:fill="FFFFFF" w:themeFill="background1"/>
            <w:noWrap/>
            <w:vAlign w:val="bottom"/>
            <w:hideMark/>
          </w:tcPr>
          <w:p w14:paraId="3C1758AC" w14:textId="77777777" w:rsidR="005A50F8" w:rsidRPr="00237521" w:rsidRDefault="005A50F8" w:rsidP="005A50F8">
            <w:pPr>
              <w:keepNext/>
              <w:jc w:val="center"/>
              <w:rPr>
                <w:rFonts w:cs="Calibri"/>
                <w:b/>
                <w:sz w:val="22"/>
                <w:szCs w:val="22"/>
              </w:rPr>
            </w:pPr>
            <w:r w:rsidRPr="00237521">
              <w:rPr>
                <w:rFonts w:cs="Calibri"/>
                <w:b/>
                <w:sz w:val="22"/>
                <w:szCs w:val="22"/>
              </w:rPr>
              <w:t>0.44</w:t>
            </w:r>
          </w:p>
        </w:tc>
        <w:tc>
          <w:tcPr>
            <w:tcW w:w="989" w:type="dxa"/>
            <w:tcBorders>
              <w:top w:val="nil"/>
              <w:left w:val="nil"/>
              <w:bottom w:val="single" w:sz="4" w:space="0" w:color="auto"/>
              <w:right w:val="single" w:sz="4" w:space="0" w:color="auto"/>
            </w:tcBorders>
            <w:shd w:val="clear" w:color="auto" w:fill="FFFFFF" w:themeFill="background1"/>
            <w:noWrap/>
            <w:vAlign w:val="bottom"/>
            <w:hideMark/>
          </w:tcPr>
          <w:p w14:paraId="66B1A0B7" w14:textId="77777777" w:rsidR="005A50F8" w:rsidRPr="00237521" w:rsidRDefault="005A50F8" w:rsidP="005A50F8">
            <w:pPr>
              <w:keepNext/>
              <w:jc w:val="center"/>
              <w:rPr>
                <w:rFonts w:cs="Calibri"/>
                <w:b/>
                <w:sz w:val="22"/>
                <w:szCs w:val="22"/>
              </w:rPr>
            </w:pPr>
            <w:r w:rsidRPr="00237521">
              <w:rPr>
                <w:rFonts w:cs="Calibri"/>
                <w:b/>
                <w:sz w:val="22"/>
                <w:szCs w:val="22"/>
              </w:rPr>
              <w:t>1.64</w:t>
            </w:r>
          </w:p>
        </w:tc>
        <w:tc>
          <w:tcPr>
            <w:tcW w:w="989" w:type="dxa"/>
            <w:tcBorders>
              <w:top w:val="nil"/>
              <w:left w:val="nil"/>
              <w:bottom w:val="single" w:sz="4" w:space="0" w:color="auto"/>
              <w:right w:val="single" w:sz="4" w:space="0" w:color="auto"/>
            </w:tcBorders>
            <w:shd w:val="clear" w:color="auto" w:fill="FFFFFF" w:themeFill="background1"/>
            <w:noWrap/>
            <w:vAlign w:val="bottom"/>
            <w:hideMark/>
          </w:tcPr>
          <w:p w14:paraId="476F6B57" w14:textId="77777777" w:rsidR="005A50F8" w:rsidRPr="00237521" w:rsidRDefault="005A50F8" w:rsidP="005A50F8">
            <w:pPr>
              <w:keepNext/>
              <w:jc w:val="center"/>
              <w:rPr>
                <w:rFonts w:cs="Calibri"/>
                <w:b/>
                <w:sz w:val="22"/>
                <w:szCs w:val="22"/>
              </w:rPr>
            </w:pPr>
            <w:r w:rsidRPr="00237521">
              <w:rPr>
                <w:rFonts w:cs="Calibri"/>
                <w:b/>
                <w:sz w:val="22"/>
                <w:szCs w:val="22"/>
              </w:rPr>
              <w:t>0.21</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14:paraId="1875C0CC" w14:textId="77777777" w:rsidR="005A50F8" w:rsidRPr="00237521" w:rsidRDefault="005A50F8" w:rsidP="005A50F8">
            <w:pPr>
              <w:keepNext/>
              <w:jc w:val="center"/>
              <w:rPr>
                <w:rFonts w:cs="Calibri"/>
                <w:b/>
                <w:sz w:val="22"/>
                <w:szCs w:val="22"/>
              </w:rPr>
            </w:pPr>
            <w:r w:rsidRPr="00237521">
              <w:rPr>
                <w:rFonts w:cs="Calibri"/>
                <w:b/>
                <w:sz w:val="22"/>
                <w:szCs w:val="22"/>
              </w:rPr>
              <w:t>13%</w:t>
            </w:r>
          </w:p>
        </w:tc>
        <w:tc>
          <w:tcPr>
            <w:tcW w:w="960" w:type="dxa"/>
            <w:tcBorders>
              <w:top w:val="nil"/>
              <w:left w:val="nil"/>
              <w:bottom w:val="single" w:sz="4" w:space="0" w:color="auto"/>
              <w:right w:val="single" w:sz="4" w:space="0" w:color="auto"/>
            </w:tcBorders>
            <w:shd w:val="clear" w:color="auto" w:fill="FFFFFF" w:themeFill="background1"/>
            <w:noWrap/>
            <w:vAlign w:val="bottom"/>
            <w:hideMark/>
          </w:tcPr>
          <w:p w14:paraId="787223EE" w14:textId="77777777" w:rsidR="005A50F8" w:rsidRPr="00237521" w:rsidRDefault="005A50F8" w:rsidP="005A50F8">
            <w:pPr>
              <w:keepNext/>
              <w:jc w:val="center"/>
              <w:rPr>
                <w:rFonts w:cs="Calibri"/>
                <w:b/>
                <w:sz w:val="22"/>
                <w:szCs w:val="22"/>
              </w:rPr>
            </w:pPr>
            <w:r w:rsidRPr="00237521">
              <w:rPr>
                <w:rFonts w:cs="Calibri"/>
                <w:b/>
                <w:sz w:val="22"/>
                <w:szCs w:val="22"/>
              </w:rPr>
              <w:t>95</w:t>
            </w:r>
          </w:p>
        </w:tc>
      </w:tr>
      <w:tr w:rsidR="005A50F8" w:rsidRPr="005A50F8" w14:paraId="72B515FF" w14:textId="77777777" w:rsidTr="002C1FA8">
        <w:trPr>
          <w:trHeight w:val="20"/>
          <w:jc w:val="center"/>
        </w:trPr>
        <w:tc>
          <w:tcPr>
            <w:tcW w:w="35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23CA3371" w14:textId="77777777" w:rsidR="005A50F8" w:rsidRPr="005A50F8" w:rsidRDefault="005A50F8" w:rsidP="005A50F8">
            <w:pPr>
              <w:keepNext/>
              <w:jc w:val="center"/>
              <w:rPr>
                <w:rFonts w:cs="Calibri"/>
                <w:sz w:val="22"/>
                <w:szCs w:val="22"/>
              </w:rPr>
            </w:pPr>
            <w:r w:rsidRPr="005A50F8">
              <w:rPr>
                <w:rFonts w:cs="Calibri"/>
                <w:sz w:val="22"/>
                <w:szCs w:val="22"/>
              </w:rPr>
              <w:t>All</w:t>
            </w:r>
          </w:p>
        </w:tc>
        <w:tc>
          <w:tcPr>
            <w:tcW w:w="2520" w:type="dxa"/>
            <w:tcBorders>
              <w:top w:val="nil"/>
              <w:left w:val="nil"/>
              <w:bottom w:val="nil"/>
              <w:right w:val="single" w:sz="4" w:space="0" w:color="auto"/>
            </w:tcBorders>
            <w:shd w:val="clear" w:color="000000" w:fill="FFFFFF"/>
            <w:noWrap/>
            <w:vAlign w:val="bottom"/>
            <w:hideMark/>
          </w:tcPr>
          <w:p w14:paraId="1F244986" w14:textId="77777777" w:rsidR="005A50F8" w:rsidRPr="005A50F8" w:rsidRDefault="005A50F8" w:rsidP="005A50F8">
            <w:pPr>
              <w:keepNext/>
              <w:jc w:val="right"/>
              <w:rPr>
                <w:rFonts w:cs="Calibri"/>
                <w:sz w:val="22"/>
                <w:szCs w:val="22"/>
              </w:rPr>
            </w:pPr>
            <w:r w:rsidRPr="005A50F8">
              <w:rPr>
                <w:rFonts w:cs="Calibri"/>
                <w:sz w:val="22"/>
                <w:szCs w:val="22"/>
              </w:rPr>
              <w:t>Aug 31, 2017</w:t>
            </w:r>
          </w:p>
        </w:tc>
        <w:tc>
          <w:tcPr>
            <w:tcW w:w="985" w:type="dxa"/>
            <w:tcBorders>
              <w:top w:val="nil"/>
              <w:left w:val="nil"/>
              <w:bottom w:val="nil"/>
              <w:right w:val="single" w:sz="4" w:space="0" w:color="auto"/>
            </w:tcBorders>
            <w:shd w:val="clear" w:color="000000" w:fill="FFFFFF"/>
            <w:noWrap/>
            <w:vAlign w:val="bottom"/>
            <w:hideMark/>
          </w:tcPr>
          <w:p w14:paraId="4E255A7E" w14:textId="77777777" w:rsidR="005A50F8" w:rsidRPr="005A50F8" w:rsidRDefault="005A50F8" w:rsidP="005A50F8">
            <w:pPr>
              <w:keepNext/>
              <w:jc w:val="center"/>
              <w:rPr>
                <w:rFonts w:cs="Calibri"/>
                <w:sz w:val="22"/>
                <w:szCs w:val="22"/>
              </w:rPr>
            </w:pPr>
            <w:r w:rsidRPr="005A50F8">
              <w:rPr>
                <w:rFonts w:cs="Calibri"/>
                <w:sz w:val="22"/>
                <w:szCs w:val="22"/>
              </w:rPr>
              <w:t>4,931</w:t>
            </w:r>
          </w:p>
        </w:tc>
        <w:tc>
          <w:tcPr>
            <w:tcW w:w="1076" w:type="dxa"/>
            <w:tcBorders>
              <w:top w:val="nil"/>
              <w:left w:val="nil"/>
              <w:bottom w:val="nil"/>
              <w:right w:val="single" w:sz="4" w:space="0" w:color="auto"/>
            </w:tcBorders>
            <w:shd w:val="clear" w:color="000000" w:fill="FFFFFF"/>
            <w:noWrap/>
            <w:vAlign w:val="bottom"/>
            <w:hideMark/>
          </w:tcPr>
          <w:p w14:paraId="0A0D7230" w14:textId="77777777" w:rsidR="005A50F8" w:rsidRPr="005A50F8" w:rsidRDefault="005A50F8" w:rsidP="005A50F8">
            <w:pPr>
              <w:keepNext/>
              <w:jc w:val="center"/>
              <w:rPr>
                <w:rFonts w:cs="Calibri"/>
                <w:sz w:val="22"/>
                <w:szCs w:val="22"/>
              </w:rPr>
            </w:pPr>
            <w:r w:rsidRPr="005A50F8">
              <w:rPr>
                <w:rFonts w:cs="Calibri"/>
                <w:sz w:val="22"/>
                <w:szCs w:val="22"/>
              </w:rPr>
              <w:t>6.23</w:t>
            </w:r>
          </w:p>
        </w:tc>
        <w:tc>
          <w:tcPr>
            <w:tcW w:w="1076" w:type="dxa"/>
            <w:tcBorders>
              <w:top w:val="nil"/>
              <w:left w:val="nil"/>
              <w:bottom w:val="nil"/>
              <w:right w:val="single" w:sz="4" w:space="0" w:color="auto"/>
            </w:tcBorders>
            <w:shd w:val="clear" w:color="000000" w:fill="FFFFFF"/>
            <w:noWrap/>
            <w:vAlign w:val="bottom"/>
            <w:hideMark/>
          </w:tcPr>
          <w:p w14:paraId="40E249D2" w14:textId="77777777" w:rsidR="005A50F8" w:rsidRPr="005A50F8" w:rsidRDefault="005A50F8" w:rsidP="005A50F8">
            <w:pPr>
              <w:keepNext/>
              <w:jc w:val="center"/>
              <w:rPr>
                <w:rFonts w:cs="Calibri"/>
                <w:sz w:val="22"/>
                <w:szCs w:val="22"/>
              </w:rPr>
            </w:pPr>
            <w:r w:rsidRPr="005A50F8">
              <w:rPr>
                <w:rFonts w:cs="Calibri"/>
                <w:sz w:val="22"/>
                <w:szCs w:val="22"/>
              </w:rPr>
              <w:t>0.80</w:t>
            </w:r>
          </w:p>
        </w:tc>
        <w:tc>
          <w:tcPr>
            <w:tcW w:w="989" w:type="dxa"/>
            <w:tcBorders>
              <w:top w:val="nil"/>
              <w:left w:val="nil"/>
              <w:bottom w:val="nil"/>
              <w:right w:val="single" w:sz="4" w:space="0" w:color="auto"/>
            </w:tcBorders>
            <w:shd w:val="clear" w:color="000000" w:fill="FFFFFF"/>
            <w:noWrap/>
            <w:vAlign w:val="bottom"/>
            <w:hideMark/>
          </w:tcPr>
          <w:p w14:paraId="4436C179" w14:textId="77777777" w:rsidR="005A50F8" w:rsidRPr="005A50F8" w:rsidRDefault="005A50F8" w:rsidP="005A50F8">
            <w:pPr>
              <w:keepNext/>
              <w:jc w:val="center"/>
              <w:rPr>
                <w:rFonts w:cs="Calibri"/>
                <w:sz w:val="22"/>
                <w:szCs w:val="22"/>
              </w:rPr>
            </w:pPr>
            <w:r w:rsidRPr="005A50F8">
              <w:rPr>
                <w:rFonts w:cs="Calibri"/>
                <w:sz w:val="22"/>
                <w:szCs w:val="22"/>
              </w:rPr>
              <w:t>1.26</w:t>
            </w:r>
          </w:p>
        </w:tc>
        <w:tc>
          <w:tcPr>
            <w:tcW w:w="989" w:type="dxa"/>
            <w:tcBorders>
              <w:top w:val="nil"/>
              <w:left w:val="nil"/>
              <w:bottom w:val="nil"/>
              <w:right w:val="single" w:sz="4" w:space="0" w:color="auto"/>
            </w:tcBorders>
            <w:shd w:val="clear" w:color="000000" w:fill="FFFFFF"/>
            <w:noWrap/>
            <w:vAlign w:val="bottom"/>
            <w:hideMark/>
          </w:tcPr>
          <w:p w14:paraId="03A9240A" w14:textId="77777777" w:rsidR="005A50F8" w:rsidRPr="005A50F8" w:rsidRDefault="005A50F8" w:rsidP="005A50F8">
            <w:pPr>
              <w:keepNext/>
              <w:jc w:val="center"/>
              <w:rPr>
                <w:rFonts w:cs="Calibri"/>
                <w:sz w:val="22"/>
                <w:szCs w:val="22"/>
              </w:rPr>
            </w:pPr>
            <w:r w:rsidRPr="005A50F8">
              <w:rPr>
                <w:rFonts w:cs="Calibri"/>
                <w:sz w:val="22"/>
                <w:szCs w:val="22"/>
              </w:rPr>
              <w:t>0.16</w:t>
            </w:r>
          </w:p>
        </w:tc>
        <w:tc>
          <w:tcPr>
            <w:tcW w:w="960" w:type="dxa"/>
            <w:tcBorders>
              <w:top w:val="nil"/>
              <w:left w:val="nil"/>
              <w:bottom w:val="nil"/>
              <w:right w:val="single" w:sz="4" w:space="0" w:color="auto"/>
            </w:tcBorders>
            <w:shd w:val="clear" w:color="000000" w:fill="FFFFFF"/>
            <w:noWrap/>
            <w:vAlign w:val="bottom"/>
            <w:hideMark/>
          </w:tcPr>
          <w:p w14:paraId="0AD84863" w14:textId="77777777" w:rsidR="005A50F8" w:rsidRPr="005A50F8" w:rsidRDefault="005A50F8" w:rsidP="005A50F8">
            <w:pPr>
              <w:keepNext/>
              <w:jc w:val="center"/>
              <w:rPr>
                <w:rFonts w:cs="Calibri"/>
                <w:sz w:val="22"/>
                <w:szCs w:val="22"/>
              </w:rPr>
            </w:pPr>
            <w:r w:rsidRPr="005A50F8">
              <w:rPr>
                <w:rFonts w:cs="Calibri"/>
                <w:sz w:val="22"/>
                <w:szCs w:val="22"/>
              </w:rPr>
              <w:t>13%</w:t>
            </w:r>
          </w:p>
        </w:tc>
        <w:tc>
          <w:tcPr>
            <w:tcW w:w="960" w:type="dxa"/>
            <w:tcBorders>
              <w:top w:val="nil"/>
              <w:left w:val="nil"/>
              <w:bottom w:val="nil"/>
              <w:right w:val="single" w:sz="4" w:space="0" w:color="auto"/>
            </w:tcBorders>
            <w:shd w:val="clear" w:color="000000" w:fill="FFFFFF"/>
            <w:noWrap/>
            <w:vAlign w:val="bottom"/>
            <w:hideMark/>
          </w:tcPr>
          <w:p w14:paraId="265DACA6" w14:textId="77777777" w:rsidR="005A50F8" w:rsidRPr="005A50F8" w:rsidRDefault="005A50F8" w:rsidP="005A50F8">
            <w:pPr>
              <w:keepNext/>
              <w:jc w:val="center"/>
              <w:rPr>
                <w:rFonts w:cs="Calibri"/>
                <w:sz w:val="22"/>
                <w:szCs w:val="22"/>
              </w:rPr>
            </w:pPr>
            <w:r w:rsidRPr="005A50F8">
              <w:rPr>
                <w:rFonts w:cs="Calibri"/>
                <w:sz w:val="22"/>
                <w:szCs w:val="22"/>
              </w:rPr>
              <w:t>88</w:t>
            </w:r>
          </w:p>
        </w:tc>
      </w:tr>
      <w:tr w:rsidR="005A50F8" w:rsidRPr="005A50F8" w14:paraId="40014589" w14:textId="77777777" w:rsidTr="002C1FA8">
        <w:trPr>
          <w:trHeight w:val="20"/>
          <w:jc w:val="center"/>
        </w:trPr>
        <w:tc>
          <w:tcPr>
            <w:tcW w:w="355" w:type="dxa"/>
            <w:vMerge/>
            <w:tcBorders>
              <w:top w:val="nil"/>
              <w:left w:val="single" w:sz="4" w:space="0" w:color="auto"/>
              <w:bottom w:val="single" w:sz="4" w:space="0" w:color="000000"/>
              <w:right w:val="single" w:sz="4" w:space="0" w:color="auto"/>
            </w:tcBorders>
            <w:vAlign w:val="center"/>
            <w:hideMark/>
          </w:tcPr>
          <w:p w14:paraId="2819D299" w14:textId="77777777" w:rsidR="005A50F8" w:rsidRPr="005A50F8" w:rsidRDefault="005A50F8" w:rsidP="005A50F8">
            <w:pPr>
              <w:keepNext/>
              <w:rPr>
                <w:rFonts w:cs="Calibri"/>
                <w:sz w:val="22"/>
                <w:szCs w:val="22"/>
              </w:rPr>
            </w:pPr>
          </w:p>
        </w:tc>
        <w:tc>
          <w:tcPr>
            <w:tcW w:w="2520" w:type="dxa"/>
            <w:tcBorders>
              <w:top w:val="nil"/>
              <w:left w:val="nil"/>
              <w:bottom w:val="nil"/>
              <w:right w:val="single" w:sz="4" w:space="0" w:color="auto"/>
            </w:tcBorders>
            <w:shd w:val="clear" w:color="000000" w:fill="FFFFFF"/>
            <w:noWrap/>
            <w:vAlign w:val="bottom"/>
            <w:hideMark/>
          </w:tcPr>
          <w:p w14:paraId="01B0EDE9" w14:textId="6232851F" w:rsidR="005A50F8" w:rsidRPr="005A50F8" w:rsidRDefault="009B006F" w:rsidP="005A50F8">
            <w:pPr>
              <w:keepNext/>
              <w:jc w:val="right"/>
              <w:rPr>
                <w:rFonts w:cs="Calibri"/>
                <w:sz w:val="22"/>
                <w:szCs w:val="22"/>
              </w:rPr>
            </w:pPr>
            <w:r>
              <w:rPr>
                <w:rFonts w:cs="Calibri"/>
                <w:sz w:val="22"/>
                <w:szCs w:val="22"/>
              </w:rPr>
              <w:t>Sep</w:t>
            </w:r>
            <w:r w:rsidR="005A50F8" w:rsidRPr="005A50F8">
              <w:rPr>
                <w:rFonts w:cs="Calibri"/>
                <w:sz w:val="22"/>
                <w:szCs w:val="22"/>
              </w:rPr>
              <w:t xml:space="preserve"> 1, 2017</w:t>
            </w:r>
          </w:p>
        </w:tc>
        <w:tc>
          <w:tcPr>
            <w:tcW w:w="985" w:type="dxa"/>
            <w:tcBorders>
              <w:top w:val="nil"/>
              <w:left w:val="nil"/>
              <w:bottom w:val="nil"/>
              <w:right w:val="single" w:sz="4" w:space="0" w:color="auto"/>
            </w:tcBorders>
            <w:shd w:val="clear" w:color="000000" w:fill="FFFFFF"/>
            <w:noWrap/>
            <w:vAlign w:val="bottom"/>
            <w:hideMark/>
          </w:tcPr>
          <w:p w14:paraId="7BA3AB34" w14:textId="77777777" w:rsidR="005A50F8" w:rsidRPr="005A50F8" w:rsidRDefault="005A50F8" w:rsidP="005A50F8">
            <w:pPr>
              <w:keepNext/>
              <w:jc w:val="center"/>
              <w:rPr>
                <w:rFonts w:cs="Calibri"/>
                <w:sz w:val="22"/>
                <w:szCs w:val="22"/>
              </w:rPr>
            </w:pPr>
            <w:r w:rsidRPr="005A50F8">
              <w:rPr>
                <w:rFonts w:cs="Calibri"/>
                <w:sz w:val="22"/>
                <w:szCs w:val="22"/>
              </w:rPr>
              <w:t>4,939</w:t>
            </w:r>
          </w:p>
        </w:tc>
        <w:tc>
          <w:tcPr>
            <w:tcW w:w="1076" w:type="dxa"/>
            <w:tcBorders>
              <w:top w:val="nil"/>
              <w:left w:val="nil"/>
              <w:bottom w:val="nil"/>
              <w:right w:val="single" w:sz="4" w:space="0" w:color="auto"/>
            </w:tcBorders>
            <w:shd w:val="clear" w:color="000000" w:fill="FFFFFF"/>
            <w:noWrap/>
            <w:vAlign w:val="bottom"/>
            <w:hideMark/>
          </w:tcPr>
          <w:p w14:paraId="50EBE67F" w14:textId="77777777" w:rsidR="005A50F8" w:rsidRPr="005A50F8" w:rsidRDefault="005A50F8" w:rsidP="005A50F8">
            <w:pPr>
              <w:keepNext/>
              <w:jc w:val="center"/>
              <w:rPr>
                <w:rFonts w:cs="Calibri"/>
                <w:sz w:val="22"/>
                <w:szCs w:val="22"/>
              </w:rPr>
            </w:pPr>
            <w:r w:rsidRPr="005A50F8">
              <w:rPr>
                <w:rFonts w:cs="Calibri"/>
                <w:sz w:val="22"/>
                <w:szCs w:val="22"/>
              </w:rPr>
              <w:t>7.28</w:t>
            </w:r>
          </w:p>
        </w:tc>
        <w:tc>
          <w:tcPr>
            <w:tcW w:w="1076" w:type="dxa"/>
            <w:tcBorders>
              <w:top w:val="nil"/>
              <w:left w:val="nil"/>
              <w:bottom w:val="nil"/>
              <w:right w:val="single" w:sz="4" w:space="0" w:color="auto"/>
            </w:tcBorders>
            <w:shd w:val="clear" w:color="000000" w:fill="FFFFFF"/>
            <w:noWrap/>
            <w:vAlign w:val="bottom"/>
            <w:hideMark/>
          </w:tcPr>
          <w:p w14:paraId="04F6899B" w14:textId="77777777" w:rsidR="005A50F8" w:rsidRPr="005A50F8" w:rsidRDefault="005A50F8" w:rsidP="005A50F8">
            <w:pPr>
              <w:keepNext/>
              <w:jc w:val="center"/>
              <w:rPr>
                <w:rFonts w:cs="Calibri"/>
                <w:sz w:val="22"/>
                <w:szCs w:val="22"/>
              </w:rPr>
            </w:pPr>
            <w:r w:rsidRPr="005A50F8">
              <w:rPr>
                <w:rFonts w:cs="Calibri"/>
                <w:sz w:val="22"/>
                <w:szCs w:val="22"/>
              </w:rPr>
              <w:t>1.00</w:t>
            </w:r>
          </w:p>
        </w:tc>
        <w:tc>
          <w:tcPr>
            <w:tcW w:w="989" w:type="dxa"/>
            <w:tcBorders>
              <w:top w:val="nil"/>
              <w:left w:val="nil"/>
              <w:bottom w:val="nil"/>
              <w:right w:val="single" w:sz="4" w:space="0" w:color="auto"/>
            </w:tcBorders>
            <w:shd w:val="clear" w:color="000000" w:fill="FFFFFF"/>
            <w:noWrap/>
            <w:vAlign w:val="bottom"/>
            <w:hideMark/>
          </w:tcPr>
          <w:p w14:paraId="0109AF44" w14:textId="77777777" w:rsidR="005A50F8" w:rsidRPr="005A50F8" w:rsidRDefault="005A50F8" w:rsidP="005A50F8">
            <w:pPr>
              <w:keepNext/>
              <w:jc w:val="center"/>
              <w:rPr>
                <w:rFonts w:cs="Calibri"/>
                <w:sz w:val="22"/>
                <w:szCs w:val="22"/>
              </w:rPr>
            </w:pPr>
            <w:r w:rsidRPr="005A50F8">
              <w:rPr>
                <w:rFonts w:cs="Calibri"/>
                <w:sz w:val="22"/>
                <w:szCs w:val="22"/>
              </w:rPr>
              <w:t>1.47</w:t>
            </w:r>
          </w:p>
        </w:tc>
        <w:tc>
          <w:tcPr>
            <w:tcW w:w="989" w:type="dxa"/>
            <w:tcBorders>
              <w:top w:val="nil"/>
              <w:left w:val="nil"/>
              <w:bottom w:val="nil"/>
              <w:right w:val="single" w:sz="4" w:space="0" w:color="auto"/>
            </w:tcBorders>
            <w:shd w:val="clear" w:color="000000" w:fill="FFFFFF"/>
            <w:noWrap/>
            <w:vAlign w:val="bottom"/>
            <w:hideMark/>
          </w:tcPr>
          <w:p w14:paraId="6B9580C4" w14:textId="77777777" w:rsidR="005A50F8" w:rsidRPr="005A50F8" w:rsidRDefault="005A50F8" w:rsidP="005A50F8">
            <w:pPr>
              <w:keepNext/>
              <w:jc w:val="center"/>
              <w:rPr>
                <w:rFonts w:cs="Calibri"/>
                <w:sz w:val="22"/>
                <w:szCs w:val="22"/>
              </w:rPr>
            </w:pPr>
            <w:r w:rsidRPr="005A50F8">
              <w:rPr>
                <w:rFonts w:cs="Calibri"/>
                <w:sz w:val="22"/>
                <w:szCs w:val="22"/>
              </w:rPr>
              <w:t>0.20</w:t>
            </w:r>
          </w:p>
        </w:tc>
        <w:tc>
          <w:tcPr>
            <w:tcW w:w="960" w:type="dxa"/>
            <w:tcBorders>
              <w:top w:val="nil"/>
              <w:left w:val="nil"/>
              <w:bottom w:val="nil"/>
              <w:right w:val="single" w:sz="4" w:space="0" w:color="auto"/>
            </w:tcBorders>
            <w:shd w:val="clear" w:color="000000" w:fill="FFFFFF"/>
            <w:noWrap/>
            <w:vAlign w:val="bottom"/>
            <w:hideMark/>
          </w:tcPr>
          <w:p w14:paraId="6179E0D4" w14:textId="77777777" w:rsidR="005A50F8" w:rsidRPr="005A50F8" w:rsidRDefault="005A50F8" w:rsidP="005A50F8">
            <w:pPr>
              <w:keepNext/>
              <w:jc w:val="center"/>
              <w:rPr>
                <w:rFonts w:cs="Calibri"/>
                <w:sz w:val="22"/>
                <w:szCs w:val="22"/>
              </w:rPr>
            </w:pPr>
            <w:r w:rsidRPr="005A50F8">
              <w:rPr>
                <w:rFonts w:cs="Calibri"/>
                <w:sz w:val="22"/>
                <w:szCs w:val="22"/>
              </w:rPr>
              <w:t>14%</w:t>
            </w:r>
          </w:p>
        </w:tc>
        <w:tc>
          <w:tcPr>
            <w:tcW w:w="960" w:type="dxa"/>
            <w:tcBorders>
              <w:top w:val="nil"/>
              <w:left w:val="nil"/>
              <w:bottom w:val="nil"/>
              <w:right w:val="single" w:sz="4" w:space="0" w:color="auto"/>
            </w:tcBorders>
            <w:shd w:val="clear" w:color="000000" w:fill="FFFFFF"/>
            <w:noWrap/>
            <w:vAlign w:val="bottom"/>
            <w:hideMark/>
          </w:tcPr>
          <w:p w14:paraId="1BB3138A" w14:textId="77777777" w:rsidR="005A50F8" w:rsidRPr="005A50F8" w:rsidRDefault="005A50F8" w:rsidP="005A50F8">
            <w:pPr>
              <w:keepNext/>
              <w:jc w:val="center"/>
              <w:rPr>
                <w:rFonts w:cs="Calibri"/>
                <w:sz w:val="22"/>
                <w:szCs w:val="22"/>
              </w:rPr>
            </w:pPr>
            <w:r w:rsidRPr="005A50F8">
              <w:rPr>
                <w:rFonts w:cs="Calibri"/>
                <w:sz w:val="22"/>
                <w:szCs w:val="22"/>
              </w:rPr>
              <w:t>95</w:t>
            </w:r>
          </w:p>
        </w:tc>
      </w:tr>
      <w:tr w:rsidR="005A50F8" w:rsidRPr="005A50F8" w14:paraId="2E7CE5A5" w14:textId="77777777" w:rsidTr="002C1FA8">
        <w:trPr>
          <w:trHeight w:val="20"/>
          <w:jc w:val="center"/>
        </w:trPr>
        <w:tc>
          <w:tcPr>
            <w:tcW w:w="355" w:type="dxa"/>
            <w:vMerge/>
            <w:tcBorders>
              <w:top w:val="nil"/>
              <w:left w:val="single" w:sz="4" w:space="0" w:color="auto"/>
              <w:bottom w:val="single" w:sz="4" w:space="0" w:color="000000"/>
              <w:right w:val="single" w:sz="4" w:space="0" w:color="auto"/>
            </w:tcBorders>
            <w:vAlign w:val="center"/>
            <w:hideMark/>
          </w:tcPr>
          <w:p w14:paraId="0BD57FA6" w14:textId="77777777" w:rsidR="005A50F8" w:rsidRPr="005A50F8" w:rsidRDefault="005A50F8" w:rsidP="005A50F8">
            <w:pPr>
              <w:keepNext/>
              <w:rPr>
                <w:rFonts w:cs="Calibri"/>
                <w:sz w:val="22"/>
                <w:szCs w:val="22"/>
              </w:rPr>
            </w:pPr>
          </w:p>
        </w:tc>
        <w:tc>
          <w:tcPr>
            <w:tcW w:w="2520" w:type="dxa"/>
            <w:tcBorders>
              <w:top w:val="nil"/>
              <w:left w:val="nil"/>
              <w:bottom w:val="nil"/>
              <w:right w:val="single" w:sz="4" w:space="0" w:color="auto"/>
            </w:tcBorders>
            <w:shd w:val="clear" w:color="000000" w:fill="FFFFFF"/>
            <w:noWrap/>
            <w:vAlign w:val="bottom"/>
            <w:hideMark/>
          </w:tcPr>
          <w:p w14:paraId="188EC5D8" w14:textId="3407C977" w:rsidR="005A50F8" w:rsidRPr="005A50F8" w:rsidRDefault="009B006F" w:rsidP="005A50F8">
            <w:pPr>
              <w:keepNext/>
              <w:jc w:val="right"/>
              <w:rPr>
                <w:rFonts w:cs="Calibri"/>
                <w:sz w:val="22"/>
                <w:szCs w:val="22"/>
              </w:rPr>
            </w:pPr>
            <w:r>
              <w:rPr>
                <w:rFonts w:cs="Calibri"/>
                <w:sz w:val="22"/>
                <w:szCs w:val="22"/>
              </w:rPr>
              <w:t>Sep</w:t>
            </w:r>
            <w:r w:rsidR="005A50F8" w:rsidRPr="005A50F8">
              <w:rPr>
                <w:rFonts w:cs="Calibri"/>
                <w:sz w:val="22"/>
                <w:szCs w:val="22"/>
              </w:rPr>
              <w:t xml:space="preserve"> 2, 2017</w:t>
            </w:r>
          </w:p>
        </w:tc>
        <w:tc>
          <w:tcPr>
            <w:tcW w:w="985" w:type="dxa"/>
            <w:tcBorders>
              <w:top w:val="nil"/>
              <w:left w:val="nil"/>
              <w:bottom w:val="nil"/>
              <w:right w:val="single" w:sz="4" w:space="0" w:color="auto"/>
            </w:tcBorders>
            <w:shd w:val="clear" w:color="000000" w:fill="FFFFFF"/>
            <w:noWrap/>
            <w:vAlign w:val="bottom"/>
            <w:hideMark/>
          </w:tcPr>
          <w:p w14:paraId="3848AE56" w14:textId="77777777" w:rsidR="005A50F8" w:rsidRPr="005A50F8" w:rsidRDefault="005A50F8" w:rsidP="005A50F8">
            <w:pPr>
              <w:keepNext/>
              <w:jc w:val="center"/>
              <w:rPr>
                <w:rFonts w:cs="Calibri"/>
                <w:sz w:val="22"/>
                <w:szCs w:val="22"/>
              </w:rPr>
            </w:pPr>
            <w:r w:rsidRPr="005A50F8">
              <w:rPr>
                <w:rFonts w:cs="Calibri"/>
                <w:sz w:val="22"/>
                <w:szCs w:val="22"/>
              </w:rPr>
              <w:t>4,963</w:t>
            </w:r>
          </w:p>
        </w:tc>
        <w:tc>
          <w:tcPr>
            <w:tcW w:w="1076" w:type="dxa"/>
            <w:tcBorders>
              <w:top w:val="nil"/>
              <w:left w:val="nil"/>
              <w:bottom w:val="nil"/>
              <w:right w:val="single" w:sz="4" w:space="0" w:color="auto"/>
            </w:tcBorders>
            <w:shd w:val="clear" w:color="000000" w:fill="FFFFFF"/>
            <w:noWrap/>
            <w:vAlign w:val="bottom"/>
            <w:hideMark/>
          </w:tcPr>
          <w:p w14:paraId="5754DBED" w14:textId="77777777" w:rsidR="005A50F8" w:rsidRPr="005A50F8" w:rsidRDefault="005A50F8" w:rsidP="005A50F8">
            <w:pPr>
              <w:keepNext/>
              <w:jc w:val="center"/>
              <w:rPr>
                <w:rFonts w:cs="Calibri"/>
                <w:sz w:val="22"/>
                <w:szCs w:val="22"/>
              </w:rPr>
            </w:pPr>
            <w:r w:rsidRPr="005A50F8">
              <w:rPr>
                <w:rFonts w:cs="Calibri"/>
                <w:sz w:val="22"/>
                <w:szCs w:val="22"/>
              </w:rPr>
              <w:t>8.19</w:t>
            </w:r>
          </w:p>
        </w:tc>
        <w:tc>
          <w:tcPr>
            <w:tcW w:w="1076" w:type="dxa"/>
            <w:tcBorders>
              <w:top w:val="nil"/>
              <w:left w:val="nil"/>
              <w:bottom w:val="nil"/>
              <w:right w:val="single" w:sz="4" w:space="0" w:color="auto"/>
            </w:tcBorders>
            <w:shd w:val="clear" w:color="000000" w:fill="FFFFFF"/>
            <w:noWrap/>
            <w:vAlign w:val="bottom"/>
            <w:hideMark/>
          </w:tcPr>
          <w:p w14:paraId="6D860643" w14:textId="77777777" w:rsidR="005A50F8" w:rsidRPr="005A50F8" w:rsidRDefault="005A50F8" w:rsidP="005A50F8">
            <w:pPr>
              <w:keepNext/>
              <w:jc w:val="center"/>
              <w:rPr>
                <w:rFonts w:cs="Calibri"/>
                <w:sz w:val="22"/>
                <w:szCs w:val="22"/>
              </w:rPr>
            </w:pPr>
            <w:r w:rsidRPr="005A50F8">
              <w:rPr>
                <w:rFonts w:cs="Calibri"/>
                <w:sz w:val="22"/>
                <w:szCs w:val="22"/>
              </w:rPr>
              <w:t>0.72</w:t>
            </w:r>
          </w:p>
        </w:tc>
        <w:tc>
          <w:tcPr>
            <w:tcW w:w="989" w:type="dxa"/>
            <w:tcBorders>
              <w:top w:val="nil"/>
              <w:left w:val="nil"/>
              <w:bottom w:val="nil"/>
              <w:right w:val="single" w:sz="4" w:space="0" w:color="auto"/>
            </w:tcBorders>
            <w:shd w:val="clear" w:color="000000" w:fill="FFFFFF"/>
            <w:noWrap/>
            <w:vAlign w:val="bottom"/>
            <w:hideMark/>
          </w:tcPr>
          <w:p w14:paraId="49AB1926" w14:textId="77777777" w:rsidR="005A50F8" w:rsidRPr="005A50F8" w:rsidRDefault="005A50F8" w:rsidP="005A50F8">
            <w:pPr>
              <w:keepNext/>
              <w:jc w:val="center"/>
              <w:rPr>
                <w:rFonts w:cs="Calibri"/>
                <w:sz w:val="22"/>
                <w:szCs w:val="22"/>
              </w:rPr>
            </w:pPr>
            <w:r w:rsidRPr="005A50F8">
              <w:rPr>
                <w:rFonts w:cs="Calibri"/>
                <w:sz w:val="22"/>
                <w:szCs w:val="22"/>
              </w:rPr>
              <w:t>1.65</w:t>
            </w:r>
          </w:p>
        </w:tc>
        <w:tc>
          <w:tcPr>
            <w:tcW w:w="989" w:type="dxa"/>
            <w:tcBorders>
              <w:top w:val="nil"/>
              <w:left w:val="nil"/>
              <w:bottom w:val="nil"/>
              <w:right w:val="single" w:sz="4" w:space="0" w:color="auto"/>
            </w:tcBorders>
            <w:shd w:val="clear" w:color="000000" w:fill="FFFFFF"/>
            <w:noWrap/>
            <w:vAlign w:val="bottom"/>
            <w:hideMark/>
          </w:tcPr>
          <w:p w14:paraId="43F0945B" w14:textId="77777777" w:rsidR="005A50F8" w:rsidRPr="005A50F8" w:rsidRDefault="005A50F8" w:rsidP="005A50F8">
            <w:pPr>
              <w:keepNext/>
              <w:jc w:val="center"/>
              <w:rPr>
                <w:rFonts w:cs="Calibri"/>
                <w:sz w:val="22"/>
                <w:szCs w:val="22"/>
              </w:rPr>
            </w:pPr>
            <w:r w:rsidRPr="005A50F8">
              <w:rPr>
                <w:rFonts w:cs="Calibri"/>
                <w:sz w:val="22"/>
                <w:szCs w:val="22"/>
              </w:rPr>
              <w:t>0.14</w:t>
            </w:r>
          </w:p>
        </w:tc>
        <w:tc>
          <w:tcPr>
            <w:tcW w:w="960" w:type="dxa"/>
            <w:tcBorders>
              <w:top w:val="nil"/>
              <w:left w:val="nil"/>
              <w:bottom w:val="nil"/>
              <w:right w:val="single" w:sz="4" w:space="0" w:color="auto"/>
            </w:tcBorders>
            <w:shd w:val="clear" w:color="000000" w:fill="FFFFFF"/>
            <w:noWrap/>
            <w:vAlign w:val="bottom"/>
            <w:hideMark/>
          </w:tcPr>
          <w:p w14:paraId="7F7840D2" w14:textId="77777777" w:rsidR="005A50F8" w:rsidRPr="005A50F8" w:rsidRDefault="005A50F8" w:rsidP="005A50F8">
            <w:pPr>
              <w:keepNext/>
              <w:jc w:val="center"/>
              <w:rPr>
                <w:rFonts w:cs="Calibri"/>
                <w:sz w:val="22"/>
                <w:szCs w:val="22"/>
              </w:rPr>
            </w:pPr>
            <w:r w:rsidRPr="005A50F8">
              <w:rPr>
                <w:rFonts w:cs="Calibri"/>
                <w:sz w:val="22"/>
                <w:szCs w:val="22"/>
              </w:rPr>
              <w:t>9%</w:t>
            </w:r>
          </w:p>
        </w:tc>
        <w:tc>
          <w:tcPr>
            <w:tcW w:w="960" w:type="dxa"/>
            <w:tcBorders>
              <w:top w:val="nil"/>
              <w:left w:val="nil"/>
              <w:bottom w:val="nil"/>
              <w:right w:val="single" w:sz="4" w:space="0" w:color="auto"/>
            </w:tcBorders>
            <w:shd w:val="clear" w:color="000000" w:fill="FFFFFF"/>
            <w:noWrap/>
            <w:vAlign w:val="bottom"/>
            <w:hideMark/>
          </w:tcPr>
          <w:p w14:paraId="435BA95B" w14:textId="77777777" w:rsidR="005A50F8" w:rsidRPr="005A50F8" w:rsidRDefault="005A50F8" w:rsidP="005A50F8">
            <w:pPr>
              <w:keepNext/>
              <w:jc w:val="center"/>
              <w:rPr>
                <w:rFonts w:cs="Calibri"/>
                <w:sz w:val="22"/>
                <w:szCs w:val="22"/>
              </w:rPr>
            </w:pPr>
            <w:r w:rsidRPr="005A50F8">
              <w:rPr>
                <w:rFonts w:cs="Calibri"/>
                <w:sz w:val="22"/>
                <w:szCs w:val="22"/>
              </w:rPr>
              <w:t>94</w:t>
            </w:r>
          </w:p>
        </w:tc>
      </w:tr>
      <w:tr w:rsidR="005A50F8" w:rsidRPr="005A50F8" w14:paraId="7346E962" w14:textId="77777777" w:rsidTr="002C1FA8">
        <w:trPr>
          <w:trHeight w:val="20"/>
          <w:jc w:val="center"/>
        </w:trPr>
        <w:tc>
          <w:tcPr>
            <w:tcW w:w="355" w:type="dxa"/>
            <w:vMerge/>
            <w:tcBorders>
              <w:top w:val="nil"/>
              <w:left w:val="single" w:sz="4" w:space="0" w:color="auto"/>
              <w:bottom w:val="single" w:sz="4" w:space="0" w:color="000000"/>
              <w:right w:val="single" w:sz="4" w:space="0" w:color="auto"/>
            </w:tcBorders>
            <w:vAlign w:val="center"/>
            <w:hideMark/>
          </w:tcPr>
          <w:p w14:paraId="0882BFC4" w14:textId="77777777" w:rsidR="005A50F8" w:rsidRPr="005A50F8" w:rsidRDefault="005A50F8" w:rsidP="005A50F8">
            <w:pPr>
              <w:keepNext/>
              <w:rPr>
                <w:rFonts w:cs="Calibri"/>
                <w:sz w:val="22"/>
                <w:szCs w:val="22"/>
              </w:rPr>
            </w:pPr>
          </w:p>
        </w:tc>
        <w:tc>
          <w:tcPr>
            <w:tcW w:w="2520" w:type="dxa"/>
            <w:tcBorders>
              <w:top w:val="nil"/>
              <w:left w:val="nil"/>
              <w:bottom w:val="single" w:sz="4" w:space="0" w:color="auto"/>
              <w:right w:val="single" w:sz="4" w:space="0" w:color="auto"/>
            </w:tcBorders>
            <w:shd w:val="clear" w:color="000000" w:fill="FFFFFF"/>
            <w:noWrap/>
            <w:vAlign w:val="bottom"/>
            <w:hideMark/>
          </w:tcPr>
          <w:p w14:paraId="1B0366FF" w14:textId="2F051524" w:rsidR="005A50F8" w:rsidRPr="00237521" w:rsidRDefault="0050472E" w:rsidP="005A50F8">
            <w:pPr>
              <w:keepNext/>
              <w:jc w:val="right"/>
              <w:rPr>
                <w:rFonts w:cs="Calibri"/>
                <w:b/>
                <w:sz w:val="22"/>
                <w:szCs w:val="22"/>
              </w:rPr>
            </w:pPr>
            <w:r>
              <w:rPr>
                <w:rFonts w:cs="Calibri"/>
                <w:b/>
                <w:sz w:val="22"/>
                <w:szCs w:val="22"/>
              </w:rPr>
              <w:t>Average Weekday</w:t>
            </w:r>
            <w:r w:rsidR="002C1FA8">
              <w:rPr>
                <w:rFonts w:cs="Calibri"/>
                <w:b/>
                <w:sz w:val="22"/>
                <w:szCs w:val="22"/>
              </w:rPr>
              <w:t xml:space="preserve"> </w:t>
            </w:r>
            <w:r w:rsidR="002C1FA8">
              <w:rPr>
                <w:rFonts w:cs="Calibri"/>
                <w:b/>
                <w:sz w:val="22"/>
                <w:szCs w:val="22"/>
              </w:rPr>
              <w:t>Event</w:t>
            </w:r>
          </w:p>
        </w:tc>
        <w:tc>
          <w:tcPr>
            <w:tcW w:w="985" w:type="dxa"/>
            <w:tcBorders>
              <w:top w:val="nil"/>
              <w:left w:val="nil"/>
              <w:bottom w:val="single" w:sz="4" w:space="0" w:color="auto"/>
              <w:right w:val="single" w:sz="4" w:space="0" w:color="auto"/>
            </w:tcBorders>
            <w:shd w:val="clear" w:color="000000" w:fill="FFFFFF"/>
            <w:noWrap/>
            <w:vAlign w:val="bottom"/>
            <w:hideMark/>
          </w:tcPr>
          <w:p w14:paraId="6C92FF3A" w14:textId="77777777" w:rsidR="005A50F8" w:rsidRPr="00237521" w:rsidRDefault="005A50F8" w:rsidP="005A50F8">
            <w:pPr>
              <w:keepNext/>
              <w:jc w:val="center"/>
              <w:rPr>
                <w:rFonts w:cs="Calibri"/>
                <w:b/>
                <w:sz w:val="22"/>
                <w:szCs w:val="22"/>
              </w:rPr>
            </w:pPr>
            <w:r w:rsidRPr="00237521">
              <w:rPr>
                <w:rFonts w:cs="Calibri"/>
                <w:b/>
                <w:sz w:val="22"/>
                <w:szCs w:val="22"/>
              </w:rPr>
              <w:t>4,935</w:t>
            </w:r>
          </w:p>
        </w:tc>
        <w:tc>
          <w:tcPr>
            <w:tcW w:w="1076" w:type="dxa"/>
            <w:tcBorders>
              <w:top w:val="nil"/>
              <w:left w:val="nil"/>
              <w:bottom w:val="single" w:sz="4" w:space="0" w:color="auto"/>
              <w:right w:val="single" w:sz="4" w:space="0" w:color="auto"/>
            </w:tcBorders>
            <w:shd w:val="clear" w:color="000000" w:fill="FFFFFF"/>
            <w:noWrap/>
            <w:vAlign w:val="bottom"/>
            <w:hideMark/>
          </w:tcPr>
          <w:p w14:paraId="5E5655EB" w14:textId="77777777" w:rsidR="005A50F8" w:rsidRPr="00237521" w:rsidRDefault="005A50F8" w:rsidP="005A50F8">
            <w:pPr>
              <w:keepNext/>
              <w:jc w:val="center"/>
              <w:rPr>
                <w:rFonts w:cs="Calibri"/>
                <w:b/>
                <w:sz w:val="22"/>
                <w:szCs w:val="22"/>
              </w:rPr>
            </w:pPr>
            <w:r w:rsidRPr="00237521">
              <w:rPr>
                <w:rFonts w:cs="Calibri"/>
                <w:b/>
                <w:sz w:val="22"/>
                <w:szCs w:val="22"/>
              </w:rPr>
              <w:t>6.76</w:t>
            </w:r>
          </w:p>
        </w:tc>
        <w:tc>
          <w:tcPr>
            <w:tcW w:w="1076" w:type="dxa"/>
            <w:tcBorders>
              <w:top w:val="nil"/>
              <w:left w:val="nil"/>
              <w:bottom w:val="single" w:sz="4" w:space="0" w:color="auto"/>
              <w:right w:val="single" w:sz="4" w:space="0" w:color="auto"/>
            </w:tcBorders>
            <w:shd w:val="clear" w:color="000000" w:fill="FFFFFF"/>
            <w:noWrap/>
            <w:vAlign w:val="bottom"/>
            <w:hideMark/>
          </w:tcPr>
          <w:p w14:paraId="312B1055" w14:textId="77777777" w:rsidR="005A50F8" w:rsidRPr="00237521" w:rsidRDefault="005A50F8" w:rsidP="005A50F8">
            <w:pPr>
              <w:keepNext/>
              <w:jc w:val="center"/>
              <w:rPr>
                <w:rFonts w:cs="Calibri"/>
                <w:b/>
                <w:sz w:val="22"/>
                <w:szCs w:val="22"/>
              </w:rPr>
            </w:pPr>
            <w:r w:rsidRPr="00237521">
              <w:rPr>
                <w:rFonts w:cs="Calibri"/>
                <w:b/>
                <w:sz w:val="22"/>
                <w:szCs w:val="22"/>
              </w:rPr>
              <w:t>0.90</w:t>
            </w:r>
          </w:p>
        </w:tc>
        <w:tc>
          <w:tcPr>
            <w:tcW w:w="989" w:type="dxa"/>
            <w:tcBorders>
              <w:top w:val="nil"/>
              <w:left w:val="nil"/>
              <w:bottom w:val="single" w:sz="4" w:space="0" w:color="auto"/>
              <w:right w:val="single" w:sz="4" w:space="0" w:color="auto"/>
            </w:tcBorders>
            <w:shd w:val="clear" w:color="000000" w:fill="FFFFFF"/>
            <w:noWrap/>
            <w:vAlign w:val="bottom"/>
            <w:hideMark/>
          </w:tcPr>
          <w:p w14:paraId="5C1E5F4C" w14:textId="77777777" w:rsidR="005A50F8" w:rsidRPr="00237521" w:rsidRDefault="005A50F8" w:rsidP="005A50F8">
            <w:pPr>
              <w:keepNext/>
              <w:jc w:val="center"/>
              <w:rPr>
                <w:rFonts w:cs="Calibri"/>
                <w:b/>
                <w:sz w:val="22"/>
                <w:szCs w:val="22"/>
              </w:rPr>
            </w:pPr>
            <w:r w:rsidRPr="00237521">
              <w:rPr>
                <w:rFonts w:cs="Calibri"/>
                <w:b/>
                <w:sz w:val="22"/>
                <w:szCs w:val="22"/>
              </w:rPr>
              <w:t>1.37</w:t>
            </w:r>
          </w:p>
        </w:tc>
        <w:tc>
          <w:tcPr>
            <w:tcW w:w="989" w:type="dxa"/>
            <w:tcBorders>
              <w:top w:val="nil"/>
              <w:left w:val="nil"/>
              <w:bottom w:val="single" w:sz="4" w:space="0" w:color="auto"/>
              <w:right w:val="single" w:sz="4" w:space="0" w:color="auto"/>
            </w:tcBorders>
            <w:shd w:val="clear" w:color="000000" w:fill="FFFFFF"/>
            <w:noWrap/>
            <w:vAlign w:val="bottom"/>
            <w:hideMark/>
          </w:tcPr>
          <w:p w14:paraId="143ADF52" w14:textId="77777777" w:rsidR="005A50F8" w:rsidRPr="00237521" w:rsidRDefault="005A50F8" w:rsidP="005A50F8">
            <w:pPr>
              <w:keepNext/>
              <w:jc w:val="center"/>
              <w:rPr>
                <w:rFonts w:cs="Calibri"/>
                <w:b/>
                <w:sz w:val="22"/>
                <w:szCs w:val="22"/>
              </w:rPr>
            </w:pPr>
            <w:r w:rsidRPr="00237521">
              <w:rPr>
                <w:rFonts w:cs="Calibri"/>
                <w:b/>
                <w:sz w:val="22"/>
                <w:szCs w:val="22"/>
              </w:rPr>
              <w:t>0.18</w:t>
            </w:r>
          </w:p>
        </w:tc>
        <w:tc>
          <w:tcPr>
            <w:tcW w:w="960" w:type="dxa"/>
            <w:tcBorders>
              <w:top w:val="nil"/>
              <w:left w:val="nil"/>
              <w:bottom w:val="single" w:sz="4" w:space="0" w:color="auto"/>
              <w:right w:val="single" w:sz="4" w:space="0" w:color="auto"/>
            </w:tcBorders>
            <w:shd w:val="clear" w:color="000000" w:fill="FFFFFF"/>
            <w:noWrap/>
            <w:vAlign w:val="bottom"/>
            <w:hideMark/>
          </w:tcPr>
          <w:p w14:paraId="3196182B" w14:textId="77777777" w:rsidR="005A50F8" w:rsidRPr="00237521" w:rsidRDefault="005A50F8" w:rsidP="005A50F8">
            <w:pPr>
              <w:keepNext/>
              <w:jc w:val="center"/>
              <w:rPr>
                <w:rFonts w:cs="Calibri"/>
                <w:b/>
                <w:sz w:val="22"/>
                <w:szCs w:val="22"/>
              </w:rPr>
            </w:pPr>
            <w:r w:rsidRPr="00237521">
              <w:rPr>
                <w:rFonts w:cs="Calibri"/>
                <w:b/>
                <w:sz w:val="22"/>
                <w:szCs w:val="22"/>
              </w:rPr>
              <w:t>13%</w:t>
            </w:r>
          </w:p>
        </w:tc>
        <w:tc>
          <w:tcPr>
            <w:tcW w:w="960" w:type="dxa"/>
            <w:tcBorders>
              <w:top w:val="nil"/>
              <w:left w:val="nil"/>
              <w:bottom w:val="single" w:sz="4" w:space="0" w:color="auto"/>
              <w:right w:val="single" w:sz="4" w:space="0" w:color="auto"/>
            </w:tcBorders>
            <w:shd w:val="clear" w:color="000000" w:fill="FFFFFF"/>
            <w:noWrap/>
            <w:vAlign w:val="bottom"/>
            <w:hideMark/>
          </w:tcPr>
          <w:p w14:paraId="6629F91E" w14:textId="77777777" w:rsidR="005A50F8" w:rsidRPr="00237521" w:rsidRDefault="005A50F8" w:rsidP="005A50F8">
            <w:pPr>
              <w:keepNext/>
              <w:jc w:val="center"/>
              <w:rPr>
                <w:rFonts w:cs="Calibri"/>
                <w:b/>
                <w:sz w:val="22"/>
                <w:szCs w:val="22"/>
              </w:rPr>
            </w:pPr>
            <w:r w:rsidRPr="00237521">
              <w:rPr>
                <w:rFonts w:cs="Calibri"/>
                <w:b/>
                <w:sz w:val="22"/>
                <w:szCs w:val="22"/>
              </w:rPr>
              <w:t>92</w:t>
            </w:r>
          </w:p>
        </w:tc>
      </w:tr>
    </w:tbl>
    <w:p w14:paraId="784267CF" w14:textId="77777777" w:rsidR="005A50F8" w:rsidRDefault="005A50F8" w:rsidP="00237521"/>
    <w:p w14:paraId="58CAC3CA" w14:textId="0082AF48" w:rsidR="00593D2F" w:rsidRDefault="00593D2F" w:rsidP="00095AB1">
      <w:pPr>
        <w:spacing w:after="120"/>
      </w:pPr>
      <w:r>
        <w:t xml:space="preserve">Program enrollment </w:t>
      </w:r>
      <w:r w:rsidR="00CD580D">
        <w:t xml:space="preserve">was </w:t>
      </w:r>
      <w:r w:rsidR="00304748">
        <w:t>4,931</w:t>
      </w:r>
      <w:r>
        <w:t xml:space="preserve"> customers</w:t>
      </w:r>
      <w:r w:rsidR="00547753">
        <w:t xml:space="preserve"> for the first event</w:t>
      </w:r>
      <w:r w:rsidR="00321051">
        <w:t>, skewed somewhat toward the Coastal climate zone</w:t>
      </w:r>
      <w:r>
        <w:t>.</w:t>
      </w:r>
      <w:r w:rsidR="00471843">
        <w:rPr>
          <w:rStyle w:val="FootnoteReference"/>
        </w:rPr>
        <w:footnoteReference w:id="13"/>
      </w:r>
      <w:r>
        <w:t xml:space="preserve"> </w:t>
      </w:r>
      <w:r w:rsidR="00304748">
        <w:t xml:space="preserve">On the </w:t>
      </w:r>
      <w:r w:rsidR="0050472E">
        <w:t>average weekday event</w:t>
      </w:r>
      <w:r w:rsidR="00304748">
        <w:t>, August 31 and September 1, t</w:t>
      </w:r>
      <w:r w:rsidR="00F830F9">
        <w:t>he a</w:t>
      </w:r>
      <w:r>
        <w:t xml:space="preserve">ggregate </w:t>
      </w:r>
      <w:r w:rsidR="00E2760D">
        <w:t xml:space="preserve">reference </w:t>
      </w:r>
      <w:r>
        <w:t>load</w:t>
      </w:r>
      <w:r w:rsidR="00304748">
        <w:t xml:space="preserve"> for all customers</w:t>
      </w:r>
      <w:r>
        <w:t xml:space="preserve"> </w:t>
      </w:r>
      <w:r w:rsidR="00F830F9">
        <w:t xml:space="preserve">was </w:t>
      </w:r>
      <w:r w:rsidR="00304748">
        <w:t>6.76</w:t>
      </w:r>
      <w:r>
        <w:t xml:space="preserve"> MW</w:t>
      </w:r>
      <w:r w:rsidR="003C41E9">
        <w:t>h/h</w:t>
      </w:r>
      <w:r w:rsidR="00F830F9">
        <w:t>.</w:t>
      </w:r>
      <w:r>
        <w:t xml:space="preserve"> Per-customer load impacts </w:t>
      </w:r>
      <w:r w:rsidR="00F830F9">
        <w:t xml:space="preserve">averaged </w:t>
      </w:r>
      <w:r>
        <w:t>0.</w:t>
      </w:r>
      <w:r w:rsidR="00321051">
        <w:t>17</w:t>
      </w:r>
      <w:r>
        <w:t xml:space="preserve"> kW </w:t>
      </w:r>
      <w:r w:rsidR="00F830F9">
        <w:t>for customers in the Coastal climate zone</w:t>
      </w:r>
      <w:r>
        <w:t xml:space="preserve">, </w:t>
      </w:r>
      <w:r w:rsidR="00F830F9">
        <w:t xml:space="preserve">representing </w:t>
      </w:r>
      <w:r w:rsidR="00304748">
        <w:t>14</w:t>
      </w:r>
      <w:r w:rsidR="00F830F9">
        <w:t xml:space="preserve"> percent of the</w:t>
      </w:r>
      <w:r w:rsidR="00E2760D">
        <w:t>ir</w:t>
      </w:r>
      <w:r w:rsidR="00F830F9">
        <w:t xml:space="preserve"> reference load, and </w:t>
      </w:r>
      <w:r>
        <w:t>0.</w:t>
      </w:r>
      <w:r w:rsidR="00304748">
        <w:t>2</w:t>
      </w:r>
      <w:r w:rsidR="00321051">
        <w:t>1</w:t>
      </w:r>
      <w:r>
        <w:t xml:space="preserve"> kW, </w:t>
      </w:r>
      <w:r w:rsidR="00F830F9">
        <w:t xml:space="preserve">or </w:t>
      </w:r>
      <w:r w:rsidR="00304748">
        <w:t>13</w:t>
      </w:r>
      <w:r w:rsidR="00F830F9">
        <w:t xml:space="preserve"> percent</w:t>
      </w:r>
      <w:r w:rsidR="00E2760D">
        <w:t>,</w:t>
      </w:r>
      <w:r w:rsidR="00F830F9">
        <w:t xml:space="preserve"> for the Inland climate zone</w:t>
      </w:r>
      <w:r>
        <w:t xml:space="preserve">. Average event-window temperatures </w:t>
      </w:r>
      <w:r w:rsidR="00F830F9">
        <w:t>were somewhat</w:t>
      </w:r>
      <w:r w:rsidR="008F6ABE">
        <w:t xml:space="preserve"> cooler</w:t>
      </w:r>
      <w:r w:rsidR="00F830F9">
        <w:t xml:space="preserve"> in the Coastal zone, at</w:t>
      </w:r>
      <w:r w:rsidR="00304748">
        <w:t xml:space="preserve"> 89</w:t>
      </w:r>
      <w:r>
        <w:t xml:space="preserve"> degrees, </w:t>
      </w:r>
      <w:r w:rsidR="00F830F9">
        <w:t>than</w:t>
      </w:r>
      <w:r>
        <w:t xml:space="preserve"> the </w:t>
      </w:r>
      <w:r w:rsidR="00304748">
        <w:t>95</w:t>
      </w:r>
      <w:r w:rsidR="005A5919">
        <w:t>-</w:t>
      </w:r>
      <w:r>
        <w:t xml:space="preserve">degree temperature for the </w:t>
      </w:r>
      <w:r w:rsidR="00F830F9">
        <w:t>Inland zone</w:t>
      </w:r>
      <w:r>
        <w:t>.</w:t>
      </w:r>
      <w:r w:rsidR="00F830F9">
        <w:t xml:space="preserve"> </w:t>
      </w:r>
      <w:r w:rsidR="00304748">
        <w:t xml:space="preserve">Both customer groups, inland and climate, respond similarly in percentage terms to the </w:t>
      </w:r>
      <w:r w:rsidR="0050472E">
        <w:t>average weekday event</w:t>
      </w:r>
      <w:r w:rsidR="00304748">
        <w:t>.</w:t>
      </w:r>
    </w:p>
    <w:p w14:paraId="12B32D65" w14:textId="3A2DC969" w:rsidR="00EE4051" w:rsidRDefault="00EE4051" w:rsidP="00095AB1">
      <w:pPr>
        <w:spacing w:after="120"/>
      </w:pPr>
      <w:r>
        <w:t xml:space="preserve">The average per-customer reference load was higher during the weekend event in both climate zones. Nonetheless, the load impacts were smaller during the weekend event. </w:t>
      </w:r>
      <w:r>
        <w:lastRenderedPageBreak/>
        <w:t xml:space="preserve">Inland customers responded less during the weekend event, providing a 6% load reduction compared to 13% during the weekday events. </w:t>
      </w:r>
      <w:r w:rsidR="003559DD">
        <w:t xml:space="preserve">Coastal customers reduced usage by 11% during the weekend event, down from 14% during the weekday events. </w:t>
      </w:r>
    </w:p>
    <w:p w14:paraId="747434FE" w14:textId="188DD9EA" w:rsidR="00BD6A61" w:rsidRDefault="00593D2F" w:rsidP="00095AB1">
      <w:pPr>
        <w:spacing w:after="120"/>
      </w:pPr>
      <w:r>
        <w:t>Figure 4.</w:t>
      </w:r>
      <w:r w:rsidR="00CE6C9D">
        <w:t>2</w:t>
      </w:r>
      <w:r>
        <w:t xml:space="preserve"> shows </w:t>
      </w:r>
      <w:r w:rsidR="006611E3">
        <w:t xml:space="preserve">aggregate </w:t>
      </w:r>
      <w:r>
        <w:t xml:space="preserve">hourly loads and load impacts for the </w:t>
      </w:r>
      <w:r w:rsidR="0050472E">
        <w:t>average weekday event</w:t>
      </w:r>
      <w:r>
        <w:t xml:space="preserve">. The largest </w:t>
      </w:r>
      <w:r w:rsidR="00EA7A92">
        <w:t xml:space="preserve">hourly </w:t>
      </w:r>
      <w:r>
        <w:t xml:space="preserve">load impact </w:t>
      </w:r>
      <w:r w:rsidRPr="006611E3">
        <w:t xml:space="preserve">was </w:t>
      </w:r>
      <w:r w:rsidR="00CD4740">
        <w:t>1.09 MW</w:t>
      </w:r>
      <w:r w:rsidR="002770E4">
        <w:t>h/h</w:t>
      </w:r>
      <w:r w:rsidR="00CD4740">
        <w:t xml:space="preserve"> in hour-ending 15 (2</w:t>
      </w:r>
      <w:r w:rsidR="00AB4D86" w:rsidRPr="00E17290">
        <w:t xml:space="preserve"> to </w:t>
      </w:r>
      <w:r w:rsidR="00CD4740">
        <w:t>3</w:t>
      </w:r>
      <w:r w:rsidR="00AB4D86" w:rsidRPr="00E17290">
        <w:t xml:space="preserve"> p.m.)</w:t>
      </w:r>
      <w:r w:rsidR="00EA7A92" w:rsidRPr="00E17290">
        <w:t>.</w:t>
      </w:r>
    </w:p>
    <w:p w14:paraId="4F225BAF" w14:textId="1DF42EB6" w:rsidR="00224D7F" w:rsidRDefault="00593D2F" w:rsidP="00095AB1">
      <w:pPr>
        <w:pStyle w:val="FigureCaption"/>
        <w:keepNext/>
      </w:pPr>
      <w:bookmarkStart w:id="74" w:name="_Toc509576815"/>
      <w:r w:rsidRPr="00F17474">
        <w:t>Figure 4.</w:t>
      </w:r>
      <w:r w:rsidR="00CE6C9D" w:rsidRPr="00F17474">
        <w:t>2</w:t>
      </w:r>
      <w:r w:rsidRPr="00F17474">
        <w:t xml:space="preserve">: </w:t>
      </w:r>
      <w:r w:rsidR="003559DD">
        <w:t xml:space="preserve">Aggregate </w:t>
      </w:r>
      <w:r w:rsidR="00E41B12" w:rsidRPr="00F17474">
        <w:t xml:space="preserve">CPP </w:t>
      </w:r>
      <w:r w:rsidRPr="00F17474">
        <w:t xml:space="preserve">Hourly </w:t>
      </w:r>
      <w:r w:rsidR="009A0B68" w:rsidRPr="00F17474">
        <w:t>L</w:t>
      </w:r>
      <w:r w:rsidRPr="00F17474">
        <w:t xml:space="preserve">oads and </w:t>
      </w:r>
      <w:r w:rsidR="009A0B68" w:rsidRPr="00F17474">
        <w:t>L</w:t>
      </w:r>
      <w:r w:rsidRPr="00F17474">
        <w:t xml:space="preserve">oad </w:t>
      </w:r>
      <w:r w:rsidR="009A0B68" w:rsidRPr="00F17474">
        <w:t>I</w:t>
      </w:r>
      <w:r w:rsidRPr="00F17474">
        <w:t xml:space="preserve">mpacts </w:t>
      </w:r>
      <w:r w:rsidR="00424D5F">
        <w:t>(MWh/h)</w:t>
      </w:r>
      <w:r w:rsidR="003559DD">
        <w:br/>
      </w:r>
      <w:r w:rsidRPr="00F17474">
        <w:t xml:space="preserve"> </w:t>
      </w:r>
      <w:r w:rsidR="00EA118C">
        <w:t xml:space="preserve">– </w:t>
      </w:r>
      <w:r w:rsidR="0050472E">
        <w:rPr>
          <w:i/>
        </w:rPr>
        <w:t>Average Weekday Event</w:t>
      </w:r>
      <w:bookmarkEnd w:id="74"/>
      <w:r>
        <w:t xml:space="preserve"> </w:t>
      </w:r>
    </w:p>
    <w:p w14:paraId="03A45FA7" w14:textId="2DA28C9A" w:rsidR="00AE3F59" w:rsidRDefault="00424D5F" w:rsidP="0020291A">
      <w:pPr>
        <w:spacing w:after="120"/>
        <w:jc w:val="center"/>
      </w:pPr>
      <w:r>
        <w:rPr>
          <w:noProof/>
        </w:rPr>
        <w:drawing>
          <wp:inline distT="0" distB="0" distL="0" distR="0" wp14:anchorId="64AA6989" wp14:editId="1617E46B">
            <wp:extent cx="5041900" cy="3200400"/>
            <wp:effectExtent l="0" t="0" r="635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41900" cy="3200400"/>
                    </a:xfrm>
                    <a:prstGeom prst="rect">
                      <a:avLst/>
                    </a:prstGeom>
                    <a:noFill/>
                  </pic:spPr>
                </pic:pic>
              </a:graphicData>
            </a:graphic>
          </wp:inline>
        </w:drawing>
      </w:r>
    </w:p>
    <w:p w14:paraId="6E47C1D0" w14:textId="77777777" w:rsidR="00B62205" w:rsidRDefault="00B62205" w:rsidP="00237521"/>
    <w:p w14:paraId="1F8A51DC" w14:textId="77777777" w:rsidR="002E5ED3" w:rsidRDefault="002E5ED3" w:rsidP="00095AB1">
      <w:pPr>
        <w:pStyle w:val="Heading2"/>
        <w:spacing w:after="120"/>
      </w:pPr>
      <w:bookmarkStart w:id="75" w:name="_Toc509576758"/>
      <w:r>
        <w:t>4.3 SCTD Load Impacts</w:t>
      </w:r>
      <w:bookmarkEnd w:id="75"/>
    </w:p>
    <w:p w14:paraId="1873394B" w14:textId="5889CF4A" w:rsidR="002E5ED3" w:rsidRDefault="002E5ED3" w:rsidP="00095AB1">
      <w:pPr>
        <w:spacing w:after="120"/>
      </w:pPr>
      <w:r>
        <w:t>This section compares the CPP load impact estimates for customers that were dually enrolled in CPP and</w:t>
      </w:r>
      <w:r w:rsidR="0089201A">
        <w:t xml:space="preserve"> the</w:t>
      </w:r>
      <w:r>
        <w:t xml:space="preserve"> </w:t>
      </w:r>
      <w:r w:rsidR="0089201A">
        <w:t>Small Customer Technology Deployment (“</w:t>
      </w:r>
      <w:r>
        <w:t>SCTD</w:t>
      </w:r>
      <w:r w:rsidR="0089201A">
        <w:t>”) program</w:t>
      </w:r>
      <w:r w:rsidR="00E37D91">
        <w:t xml:space="preserve"> during 201</w:t>
      </w:r>
      <w:r w:rsidR="00C121D3">
        <w:t>7</w:t>
      </w:r>
      <w:r>
        <w:t>. Customer</w:t>
      </w:r>
      <w:r w:rsidR="0089201A">
        <w:t>s</w:t>
      </w:r>
      <w:r>
        <w:t xml:space="preserve"> enrolled in SCTD had </w:t>
      </w:r>
      <w:r w:rsidR="00E37D91">
        <w:t xml:space="preserve">events that </w:t>
      </w:r>
      <w:r w:rsidR="008174AD">
        <w:t>were on the same days as</w:t>
      </w:r>
      <w:r w:rsidR="00E37D91">
        <w:t xml:space="preserve"> CPP events</w:t>
      </w:r>
      <w:r w:rsidR="008174AD">
        <w:t xml:space="preserve">, </w:t>
      </w:r>
      <w:r w:rsidR="00E37D91">
        <w:t>August 31</w:t>
      </w:r>
      <w:r w:rsidR="008174AD" w:rsidRPr="00237521">
        <w:rPr>
          <w:vertAlign w:val="superscript"/>
        </w:rPr>
        <w:t>st</w:t>
      </w:r>
      <w:r w:rsidR="00E37D91">
        <w:t>, September 1</w:t>
      </w:r>
      <w:r w:rsidR="008174AD" w:rsidRPr="00237521">
        <w:rPr>
          <w:vertAlign w:val="superscript"/>
        </w:rPr>
        <w:t>st</w:t>
      </w:r>
      <w:r w:rsidR="00E37D91">
        <w:t>, and September 2</w:t>
      </w:r>
      <w:r w:rsidR="008174AD" w:rsidRPr="00237521">
        <w:rPr>
          <w:vertAlign w:val="superscript"/>
        </w:rPr>
        <w:t>nd</w:t>
      </w:r>
      <w:r w:rsidR="00E37D91">
        <w:t xml:space="preserve">. The </w:t>
      </w:r>
      <w:r w:rsidR="00C121D3">
        <w:t xml:space="preserve">SCTD </w:t>
      </w:r>
      <w:r w:rsidR="00E37D91">
        <w:t>event</w:t>
      </w:r>
      <w:r>
        <w:t xml:space="preserve"> hours </w:t>
      </w:r>
      <w:r w:rsidR="008174AD">
        <w:t xml:space="preserve">were </w:t>
      </w:r>
      <w:r>
        <w:t>2 to 6 p.m., shorter than the CPP event window of 11 a.m. to 6 p.m.</w:t>
      </w:r>
    </w:p>
    <w:p w14:paraId="1B0CE938" w14:textId="79448CC1" w:rsidR="00AF7019" w:rsidRDefault="002E5ED3" w:rsidP="00095AB1">
      <w:pPr>
        <w:spacing w:after="120"/>
      </w:pPr>
      <w:r>
        <w:t>Table 4.2 summarizes reference load</w:t>
      </w:r>
      <w:r w:rsidR="0089201A">
        <w:t>s</w:t>
      </w:r>
      <w:r>
        <w:t xml:space="preserve"> and load impact</w:t>
      </w:r>
      <w:r w:rsidR="0089201A">
        <w:t>s</w:t>
      </w:r>
      <w:r>
        <w:t xml:space="preserve"> for </w:t>
      </w:r>
      <w:r w:rsidR="00726564">
        <w:t>customers that are dually enrolled in CPP and SCTD, during the SCTD event-hour window of 2 to 6 p.m.</w:t>
      </w:r>
      <w:r>
        <w:t xml:space="preserve"> </w:t>
      </w:r>
      <w:r w:rsidR="00726564">
        <w:t xml:space="preserve">The number of dually enrolled customers by the last event date was 342 </w:t>
      </w:r>
      <w:r w:rsidR="00C121D3">
        <w:t>(</w:t>
      </w:r>
      <w:r w:rsidR="00726564">
        <w:t xml:space="preserve">which </w:t>
      </w:r>
      <w:r w:rsidR="00C121D3">
        <w:t xml:space="preserve">is </w:t>
      </w:r>
      <w:r w:rsidR="00726564">
        <w:t>about 7% of all CPP customers</w:t>
      </w:r>
      <w:r w:rsidR="00C121D3">
        <w:t>)</w:t>
      </w:r>
      <w:r w:rsidR="00726564">
        <w:t>. The load impact</w:t>
      </w:r>
      <w:r w:rsidR="00342D4C">
        <w:t>s</w:t>
      </w:r>
      <w:r w:rsidR="00726564">
        <w:t xml:space="preserve"> in </w:t>
      </w:r>
      <w:r w:rsidR="00342D4C">
        <w:t xml:space="preserve">the first panel of </w:t>
      </w:r>
      <w:r w:rsidR="00726564">
        <w:t>Table 4.2</w:t>
      </w:r>
      <w:r w:rsidR="00342D4C">
        <w:t>, labeled SCTD,</w:t>
      </w:r>
      <w:r w:rsidR="00726564">
        <w:t xml:space="preserve"> represent the incremental load impact</w:t>
      </w:r>
      <w:r w:rsidR="00342D4C">
        <w:t>s</w:t>
      </w:r>
      <w:r w:rsidR="00726564">
        <w:t xml:space="preserve"> of SCTD </w:t>
      </w:r>
      <w:r w:rsidR="009B006F">
        <w:t xml:space="preserve">relative to CPP. The </w:t>
      </w:r>
      <w:r w:rsidR="00342D4C">
        <w:t xml:space="preserve">second panel labeled </w:t>
      </w:r>
      <w:r w:rsidR="009B006F">
        <w:t xml:space="preserve">CPP + SCTD represents the combined effect of calling a CPP and SCTD event on the same day for customers dually enrolled. </w:t>
      </w:r>
      <w:r w:rsidR="00AF7019">
        <w:t xml:space="preserve">On average, customers dually enrolled in SCTD and CPP </w:t>
      </w:r>
      <w:r w:rsidR="00717C09">
        <w:t>have</w:t>
      </w:r>
      <w:r w:rsidR="00AF7019">
        <w:t xml:space="preserve"> larger </w:t>
      </w:r>
      <w:r w:rsidR="00717C09">
        <w:t xml:space="preserve">reference loads </w:t>
      </w:r>
      <w:r w:rsidR="00AF7019">
        <w:t xml:space="preserve">than customers only enrolled in CPP. </w:t>
      </w:r>
    </w:p>
    <w:p w14:paraId="4E0F98F6" w14:textId="7B66947E" w:rsidR="002E5ED3" w:rsidRDefault="009B006F" w:rsidP="00095AB1">
      <w:pPr>
        <w:spacing w:after="120"/>
      </w:pPr>
      <w:r>
        <w:lastRenderedPageBreak/>
        <w:t xml:space="preserve">The </w:t>
      </w:r>
      <w:r w:rsidR="00C121D3">
        <w:t>lowest SCTD load impact of 0.08 kWh/h occurr</w:t>
      </w:r>
      <w:r w:rsidR="00717C09">
        <w:t>ed</w:t>
      </w:r>
      <w:r w:rsidR="00C121D3">
        <w:t xml:space="preserve"> </w:t>
      </w:r>
      <w:r w:rsidR="00717C09">
        <w:t>o</w:t>
      </w:r>
      <w:r w:rsidR="00C121D3">
        <w:t>n the</w:t>
      </w:r>
      <w:r>
        <w:t xml:space="preserve"> weekend event</w:t>
      </w:r>
      <w:r w:rsidR="00AF7019">
        <w:t xml:space="preserve">. The </w:t>
      </w:r>
      <w:r w:rsidR="004B4A3A">
        <w:t xml:space="preserve">combined CPP and </w:t>
      </w:r>
      <w:r w:rsidR="00AF7019">
        <w:t xml:space="preserve">SCTD </w:t>
      </w:r>
      <w:r w:rsidR="004B4A3A">
        <w:t xml:space="preserve">weekday </w:t>
      </w:r>
      <w:r w:rsidR="00AF7019">
        <w:t>load impact</w:t>
      </w:r>
      <w:r w:rsidR="004B4A3A">
        <w:t>s</w:t>
      </w:r>
      <w:r w:rsidR="00AF7019">
        <w:t xml:space="preserve"> </w:t>
      </w:r>
      <w:r w:rsidR="004B4A3A">
        <w:t>are</w:t>
      </w:r>
      <w:r w:rsidR="00AF7019">
        <w:t xml:space="preserve"> </w:t>
      </w:r>
      <w:r w:rsidR="004B4A3A">
        <w:t xml:space="preserve">approximately three times as </w:t>
      </w:r>
      <w:r w:rsidR="00AF7019">
        <w:t>large than the CPP load impact</w:t>
      </w:r>
      <w:r w:rsidR="004B4A3A">
        <w:t>s reported in Table 4.1.</w:t>
      </w:r>
      <w:r w:rsidR="00AF7019">
        <w:t xml:space="preserve"> </w:t>
      </w:r>
    </w:p>
    <w:p w14:paraId="12AD96F7" w14:textId="5F269E5C" w:rsidR="002E5ED3" w:rsidRDefault="002E5ED3" w:rsidP="00E37D91">
      <w:pPr>
        <w:pStyle w:val="TableCaption"/>
        <w:keepNext/>
      </w:pPr>
      <w:bookmarkStart w:id="76" w:name="_Toc509576793"/>
      <w:r w:rsidRPr="00AF7019">
        <w:t xml:space="preserve">Table 4.2: Comparison of Average </w:t>
      </w:r>
      <w:r w:rsidR="00AF7019">
        <w:t>SCTD</w:t>
      </w:r>
      <w:r w:rsidRPr="00AF7019">
        <w:t xml:space="preserve"> Event-Hour</w:t>
      </w:r>
      <w:r w:rsidR="00AF7019">
        <w:t xml:space="preserve"> </w:t>
      </w:r>
      <w:r w:rsidRPr="00AF7019">
        <w:t xml:space="preserve">Load Impacts </w:t>
      </w:r>
      <w:r w:rsidR="00AF7019">
        <w:br/>
      </w:r>
      <w:r w:rsidRPr="00AF7019">
        <w:t>for Customers Dually Enrolled in SCTD and CPP</w:t>
      </w:r>
      <w:bookmarkEnd w:id="76"/>
    </w:p>
    <w:tbl>
      <w:tblPr>
        <w:tblW w:w="10360" w:type="dxa"/>
        <w:jc w:val="center"/>
        <w:tblLayout w:type="fixed"/>
        <w:tblLook w:val="04A0" w:firstRow="1" w:lastRow="0" w:firstColumn="1" w:lastColumn="0" w:noHBand="0" w:noVBand="1"/>
      </w:tblPr>
      <w:tblGrid>
        <w:gridCol w:w="905"/>
        <w:gridCol w:w="2525"/>
        <w:gridCol w:w="990"/>
        <w:gridCol w:w="1084"/>
        <w:gridCol w:w="1076"/>
        <w:gridCol w:w="989"/>
        <w:gridCol w:w="989"/>
        <w:gridCol w:w="925"/>
        <w:gridCol w:w="877"/>
      </w:tblGrid>
      <w:tr w:rsidR="00E37D91" w:rsidRPr="00E37D91" w14:paraId="1A74E506" w14:textId="77777777" w:rsidTr="002C1FA8">
        <w:trPr>
          <w:trHeight w:val="300"/>
          <w:jc w:val="center"/>
        </w:trPr>
        <w:tc>
          <w:tcPr>
            <w:tcW w:w="905" w:type="dxa"/>
            <w:tcBorders>
              <w:top w:val="single" w:sz="4" w:space="0" w:color="auto"/>
              <w:left w:val="single" w:sz="4" w:space="0" w:color="auto"/>
              <w:bottom w:val="nil"/>
              <w:right w:val="single" w:sz="4" w:space="0" w:color="FFFFFF"/>
            </w:tcBorders>
            <w:shd w:val="clear" w:color="000000" w:fill="132577"/>
            <w:noWrap/>
            <w:vAlign w:val="center"/>
            <w:hideMark/>
          </w:tcPr>
          <w:p w14:paraId="0430E470" w14:textId="77777777" w:rsidR="00E37D91" w:rsidRPr="00E37D91" w:rsidRDefault="00E37D91" w:rsidP="00E37D91">
            <w:pPr>
              <w:keepNext/>
              <w:rPr>
                <w:rFonts w:cs="Calibri"/>
                <w:color w:val="FFFFFF"/>
                <w:sz w:val="22"/>
                <w:szCs w:val="22"/>
              </w:rPr>
            </w:pPr>
            <w:r w:rsidRPr="00E37D91">
              <w:rPr>
                <w:rFonts w:cs="Calibri"/>
                <w:color w:val="FFFFFF"/>
                <w:sz w:val="22"/>
                <w:szCs w:val="22"/>
              </w:rPr>
              <w:t> </w:t>
            </w:r>
          </w:p>
        </w:tc>
        <w:tc>
          <w:tcPr>
            <w:tcW w:w="2525" w:type="dxa"/>
            <w:tcBorders>
              <w:top w:val="single" w:sz="4" w:space="0" w:color="auto"/>
              <w:left w:val="nil"/>
              <w:bottom w:val="nil"/>
              <w:right w:val="nil"/>
            </w:tcBorders>
            <w:shd w:val="clear" w:color="000000" w:fill="132577"/>
            <w:noWrap/>
            <w:vAlign w:val="center"/>
            <w:hideMark/>
          </w:tcPr>
          <w:p w14:paraId="62B844C6" w14:textId="77777777" w:rsidR="00E37D91" w:rsidRPr="00E37D91" w:rsidRDefault="00E37D91" w:rsidP="00E37D91">
            <w:pPr>
              <w:keepNext/>
              <w:rPr>
                <w:rFonts w:cs="Calibri"/>
                <w:color w:val="FFFFFF"/>
                <w:sz w:val="22"/>
                <w:szCs w:val="22"/>
              </w:rPr>
            </w:pPr>
            <w:r w:rsidRPr="00E37D91">
              <w:rPr>
                <w:rFonts w:cs="Calibri"/>
                <w:color w:val="FFFFFF"/>
                <w:sz w:val="22"/>
                <w:szCs w:val="22"/>
              </w:rPr>
              <w:t> </w:t>
            </w:r>
          </w:p>
        </w:tc>
        <w:tc>
          <w:tcPr>
            <w:tcW w:w="990" w:type="dxa"/>
            <w:tcBorders>
              <w:top w:val="single" w:sz="4" w:space="0" w:color="auto"/>
              <w:left w:val="single" w:sz="4" w:space="0" w:color="FFFFFF"/>
              <w:bottom w:val="nil"/>
              <w:right w:val="nil"/>
            </w:tcBorders>
            <w:shd w:val="clear" w:color="000000" w:fill="132577"/>
            <w:noWrap/>
            <w:vAlign w:val="center"/>
            <w:hideMark/>
          </w:tcPr>
          <w:p w14:paraId="52334096" w14:textId="77777777" w:rsidR="00E37D91" w:rsidRPr="00E37D91" w:rsidRDefault="00E37D91" w:rsidP="00E37D91">
            <w:pPr>
              <w:keepNext/>
              <w:rPr>
                <w:rFonts w:cs="Calibri"/>
                <w:color w:val="FFFFFF"/>
                <w:sz w:val="22"/>
                <w:szCs w:val="22"/>
              </w:rPr>
            </w:pPr>
            <w:r w:rsidRPr="00E37D91">
              <w:rPr>
                <w:rFonts w:cs="Calibri"/>
                <w:color w:val="FFFFFF"/>
                <w:sz w:val="22"/>
                <w:szCs w:val="22"/>
              </w:rPr>
              <w:t> </w:t>
            </w:r>
          </w:p>
        </w:tc>
        <w:tc>
          <w:tcPr>
            <w:tcW w:w="2160" w:type="dxa"/>
            <w:gridSpan w:val="2"/>
            <w:tcBorders>
              <w:top w:val="single" w:sz="4" w:space="0" w:color="auto"/>
              <w:left w:val="single" w:sz="4" w:space="0" w:color="FFFFFF"/>
              <w:bottom w:val="single" w:sz="4" w:space="0" w:color="FFFFFF"/>
              <w:right w:val="single" w:sz="4" w:space="0" w:color="FFFFFF"/>
            </w:tcBorders>
            <w:shd w:val="clear" w:color="000000" w:fill="132577"/>
            <w:noWrap/>
            <w:vAlign w:val="center"/>
            <w:hideMark/>
          </w:tcPr>
          <w:p w14:paraId="1341A079" w14:textId="77777777" w:rsidR="00E37D91" w:rsidRPr="00E37D91" w:rsidRDefault="00E37D91" w:rsidP="00E37D91">
            <w:pPr>
              <w:keepNext/>
              <w:jc w:val="center"/>
              <w:rPr>
                <w:rFonts w:cs="Calibri"/>
                <w:b/>
                <w:bCs/>
                <w:color w:val="FFFFFF"/>
                <w:sz w:val="22"/>
                <w:szCs w:val="22"/>
              </w:rPr>
            </w:pPr>
            <w:r w:rsidRPr="00E37D91">
              <w:rPr>
                <w:rFonts w:cs="Calibri"/>
                <w:b/>
                <w:bCs/>
                <w:color w:val="FFFFFF"/>
                <w:sz w:val="22"/>
                <w:szCs w:val="22"/>
              </w:rPr>
              <w:t>Aggregate</w:t>
            </w:r>
          </w:p>
        </w:tc>
        <w:tc>
          <w:tcPr>
            <w:tcW w:w="1978" w:type="dxa"/>
            <w:gridSpan w:val="2"/>
            <w:tcBorders>
              <w:top w:val="single" w:sz="4" w:space="0" w:color="auto"/>
              <w:left w:val="nil"/>
              <w:bottom w:val="single" w:sz="4" w:space="0" w:color="FFFFFF"/>
              <w:right w:val="single" w:sz="4" w:space="0" w:color="FFFFFF"/>
            </w:tcBorders>
            <w:shd w:val="clear" w:color="000000" w:fill="132577"/>
            <w:noWrap/>
            <w:vAlign w:val="center"/>
            <w:hideMark/>
          </w:tcPr>
          <w:p w14:paraId="57B5FD99" w14:textId="77777777" w:rsidR="00E37D91" w:rsidRPr="00E37D91" w:rsidRDefault="00E37D91" w:rsidP="00E37D91">
            <w:pPr>
              <w:keepNext/>
              <w:jc w:val="center"/>
              <w:rPr>
                <w:rFonts w:cs="Calibri"/>
                <w:b/>
                <w:bCs/>
                <w:color w:val="FFFFFF"/>
                <w:sz w:val="22"/>
                <w:szCs w:val="22"/>
              </w:rPr>
            </w:pPr>
            <w:r w:rsidRPr="00E37D91">
              <w:rPr>
                <w:rFonts w:cs="Calibri"/>
                <w:b/>
                <w:bCs/>
                <w:color w:val="FFFFFF"/>
                <w:sz w:val="22"/>
                <w:szCs w:val="22"/>
              </w:rPr>
              <w:t>Per-Customer</w:t>
            </w:r>
          </w:p>
        </w:tc>
        <w:tc>
          <w:tcPr>
            <w:tcW w:w="925" w:type="dxa"/>
            <w:tcBorders>
              <w:top w:val="single" w:sz="4" w:space="0" w:color="auto"/>
              <w:left w:val="nil"/>
              <w:bottom w:val="nil"/>
              <w:right w:val="single" w:sz="4" w:space="0" w:color="FFFFFF"/>
            </w:tcBorders>
            <w:shd w:val="clear" w:color="000000" w:fill="132577"/>
            <w:noWrap/>
            <w:vAlign w:val="center"/>
            <w:hideMark/>
          </w:tcPr>
          <w:p w14:paraId="7BCEC6E5" w14:textId="77777777" w:rsidR="00E37D91" w:rsidRPr="00E37D91" w:rsidRDefault="00E37D91" w:rsidP="00E37D91">
            <w:pPr>
              <w:keepNext/>
              <w:rPr>
                <w:rFonts w:cs="Calibri"/>
                <w:color w:val="FFFFFF"/>
                <w:sz w:val="22"/>
                <w:szCs w:val="22"/>
              </w:rPr>
            </w:pPr>
            <w:r w:rsidRPr="00E37D91">
              <w:rPr>
                <w:rFonts w:cs="Calibri"/>
                <w:color w:val="FFFFFF"/>
                <w:sz w:val="22"/>
                <w:szCs w:val="22"/>
              </w:rPr>
              <w:t> </w:t>
            </w:r>
          </w:p>
        </w:tc>
        <w:tc>
          <w:tcPr>
            <w:tcW w:w="877" w:type="dxa"/>
            <w:tcBorders>
              <w:top w:val="single" w:sz="4" w:space="0" w:color="auto"/>
              <w:left w:val="nil"/>
              <w:bottom w:val="nil"/>
              <w:right w:val="single" w:sz="4" w:space="0" w:color="auto"/>
            </w:tcBorders>
            <w:shd w:val="clear" w:color="000000" w:fill="132577"/>
            <w:noWrap/>
            <w:vAlign w:val="center"/>
            <w:hideMark/>
          </w:tcPr>
          <w:p w14:paraId="46B14A1C" w14:textId="77777777" w:rsidR="00E37D91" w:rsidRPr="00E37D91" w:rsidRDefault="00E37D91" w:rsidP="00E37D91">
            <w:pPr>
              <w:keepNext/>
              <w:rPr>
                <w:rFonts w:cs="Calibri"/>
                <w:color w:val="FFFFFF"/>
                <w:sz w:val="22"/>
                <w:szCs w:val="22"/>
              </w:rPr>
            </w:pPr>
            <w:r w:rsidRPr="00E37D91">
              <w:rPr>
                <w:rFonts w:cs="Calibri"/>
                <w:color w:val="FFFFFF"/>
                <w:sz w:val="22"/>
                <w:szCs w:val="22"/>
              </w:rPr>
              <w:t> </w:t>
            </w:r>
          </w:p>
        </w:tc>
      </w:tr>
      <w:tr w:rsidR="00E37D91" w:rsidRPr="00E37D91" w14:paraId="13A24D50" w14:textId="77777777" w:rsidTr="002C1FA8">
        <w:trPr>
          <w:trHeight w:val="1200"/>
          <w:jc w:val="center"/>
        </w:trPr>
        <w:tc>
          <w:tcPr>
            <w:tcW w:w="905" w:type="dxa"/>
            <w:tcBorders>
              <w:top w:val="nil"/>
              <w:left w:val="single" w:sz="4" w:space="0" w:color="auto"/>
              <w:bottom w:val="single" w:sz="4" w:space="0" w:color="auto"/>
              <w:right w:val="nil"/>
            </w:tcBorders>
            <w:shd w:val="clear" w:color="auto" w:fill="0C2577"/>
            <w:vAlign w:val="center"/>
            <w:hideMark/>
          </w:tcPr>
          <w:p w14:paraId="1182CA49" w14:textId="068211A0" w:rsidR="00E37D91" w:rsidRPr="00E37D91" w:rsidRDefault="00E37D91" w:rsidP="00E37D91">
            <w:pPr>
              <w:keepNext/>
              <w:jc w:val="center"/>
              <w:rPr>
                <w:rFonts w:cs="Calibri"/>
                <w:b/>
                <w:bCs/>
                <w:color w:val="FFFFFF"/>
                <w:sz w:val="22"/>
                <w:szCs w:val="22"/>
              </w:rPr>
            </w:pPr>
            <w:r w:rsidRPr="00E37D91">
              <w:rPr>
                <w:rFonts w:cs="Calibri"/>
                <w:b/>
                <w:bCs/>
                <w:color w:val="FFFFFF"/>
                <w:sz w:val="22"/>
                <w:szCs w:val="22"/>
              </w:rPr>
              <w:t>Load Impact</w:t>
            </w:r>
            <w:r w:rsidR="00726564">
              <w:rPr>
                <w:rFonts w:cs="Calibri"/>
                <w:b/>
                <w:bCs/>
                <w:color w:val="FFFFFF"/>
                <w:sz w:val="22"/>
                <w:szCs w:val="22"/>
              </w:rPr>
              <w:t xml:space="preserve"> Type</w:t>
            </w:r>
          </w:p>
        </w:tc>
        <w:tc>
          <w:tcPr>
            <w:tcW w:w="2525" w:type="dxa"/>
            <w:tcBorders>
              <w:top w:val="nil"/>
              <w:left w:val="single" w:sz="4" w:space="0" w:color="FFFFFF"/>
              <w:bottom w:val="single" w:sz="4" w:space="0" w:color="auto"/>
              <w:right w:val="single" w:sz="4" w:space="0" w:color="FFFFFF"/>
            </w:tcBorders>
            <w:shd w:val="clear" w:color="auto" w:fill="0C2577"/>
            <w:vAlign w:val="center"/>
            <w:hideMark/>
          </w:tcPr>
          <w:p w14:paraId="61970159" w14:textId="77777777" w:rsidR="00E37D91" w:rsidRPr="00E37D91" w:rsidRDefault="00E37D91" w:rsidP="00E37D91">
            <w:pPr>
              <w:keepNext/>
              <w:jc w:val="center"/>
              <w:rPr>
                <w:rFonts w:cs="Calibri"/>
                <w:b/>
                <w:bCs/>
                <w:color w:val="FFFFFF"/>
                <w:sz w:val="22"/>
                <w:szCs w:val="22"/>
              </w:rPr>
            </w:pPr>
            <w:r w:rsidRPr="00E37D91">
              <w:rPr>
                <w:rFonts w:cs="Calibri"/>
                <w:b/>
                <w:bCs/>
                <w:color w:val="FFFFFF"/>
                <w:sz w:val="22"/>
                <w:szCs w:val="22"/>
              </w:rPr>
              <w:t>Date</w:t>
            </w:r>
          </w:p>
        </w:tc>
        <w:tc>
          <w:tcPr>
            <w:tcW w:w="990" w:type="dxa"/>
            <w:tcBorders>
              <w:top w:val="nil"/>
              <w:left w:val="nil"/>
              <w:bottom w:val="single" w:sz="4" w:space="0" w:color="auto"/>
              <w:right w:val="single" w:sz="4" w:space="0" w:color="FFFFFF"/>
            </w:tcBorders>
            <w:shd w:val="clear" w:color="auto" w:fill="0C2577"/>
            <w:vAlign w:val="center"/>
            <w:hideMark/>
          </w:tcPr>
          <w:p w14:paraId="791BA153" w14:textId="77777777" w:rsidR="00E37D91" w:rsidRPr="00E37D91" w:rsidRDefault="00E37D91" w:rsidP="00E37D91">
            <w:pPr>
              <w:keepNext/>
              <w:jc w:val="center"/>
              <w:rPr>
                <w:rFonts w:cs="Calibri"/>
                <w:b/>
                <w:bCs/>
                <w:color w:val="FFFFFF"/>
                <w:sz w:val="22"/>
                <w:szCs w:val="22"/>
              </w:rPr>
            </w:pPr>
            <w:r w:rsidRPr="00E37D91">
              <w:rPr>
                <w:rFonts w:cs="Calibri"/>
                <w:b/>
                <w:bCs/>
                <w:color w:val="FFFFFF"/>
                <w:sz w:val="22"/>
                <w:szCs w:val="22"/>
              </w:rPr>
              <w:t>Enrolled</w:t>
            </w:r>
          </w:p>
        </w:tc>
        <w:tc>
          <w:tcPr>
            <w:tcW w:w="1084" w:type="dxa"/>
            <w:tcBorders>
              <w:top w:val="nil"/>
              <w:left w:val="nil"/>
              <w:bottom w:val="single" w:sz="4" w:space="0" w:color="auto"/>
              <w:right w:val="nil"/>
            </w:tcBorders>
            <w:shd w:val="clear" w:color="auto" w:fill="0C2577"/>
            <w:vAlign w:val="center"/>
            <w:hideMark/>
          </w:tcPr>
          <w:p w14:paraId="3408DFDE" w14:textId="77777777" w:rsidR="00E37D91" w:rsidRPr="00E37D91" w:rsidRDefault="00E37D91" w:rsidP="00E37D91">
            <w:pPr>
              <w:keepNext/>
              <w:jc w:val="center"/>
              <w:rPr>
                <w:rFonts w:cs="Calibri"/>
                <w:b/>
                <w:bCs/>
                <w:color w:val="FFFFFF"/>
                <w:sz w:val="22"/>
                <w:szCs w:val="22"/>
              </w:rPr>
            </w:pPr>
            <w:r w:rsidRPr="00E37D91">
              <w:rPr>
                <w:rFonts w:cs="Calibri"/>
                <w:b/>
                <w:bCs/>
                <w:color w:val="FFFFFF"/>
                <w:sz w:val="22"/>
                <w:szCs w:val="22"/>
              </w:rPr>
              <w:t>Ref. Load (MWh/h)</w:t>
            </w:r>
          </w:p>
        </w:tc>
        <w:tc>
          <w:tcPr>
            <w:tcW w:w="1076" w:type="dxa"/>
            <w:tcBorders>
              <w:top w:val="nil"/>
              <w:left w:val="single" w:sz="4" w:space="0" w:color="FFFFFF"/>
              <w:bottom w:val="single" w:sz="4" w:space="0" w:color="auto"/>
              <w:right w:val="single" w:sz="4" w:space="0" w:color="FFFFFF"/>
            </w:tcBorders>
            <w:shd w:val="clear" w:color="auto" w:fill="0C2577"/>
            <w:vAlign w:val="center"/>
            <w:hideMark/>
          </w:tcPr>
          <w:p w14:paraId="53812515" w14:textId="77777777" w:rsidR="00E37D91" w:rsidRPr="00E37D91" w:rsidRDefault="00E37D91" w:rsidP="00E37D91">
            <w:pPr>
              <w:keepNext/>
              <w:jc w:val="center"/>
              <w:rPr>
                <w:rFonts w:cs="Calibri"/>
                <w:b/>
                <w:bCs/>
                <w:color w:val="FFFFFF"/>
                <w:sz w:val="22"/>
                <w:szCs w:val="22"/>
              </w:rPr>
            </w:pPr>
            <w:r w:rsidRPr="00E37D91">
              <w:rPr>
                <w:rFonts w:cs="Calibri"/>
                <w:b/>
                <w:bCs/>
                <w:color w:val="FFFFFF"/>
                <w:sz w:val="22"/>
                <w:szCs w:val="22"/>
              </w:rPr>
              <w:t>Load Impact (MWh/h)</w:t>
            </w:r>
          </w:p>
        </w:tc>
        <w:tc>
          <w:tcPr>
            <w:tcW w:w="989" w:type="dxa"/>
            <w:tcBorders>
              <w:top w:val="nil"/>
              <w:left w:val="nil"/>
              <w:bottom w:val="single" w:sz="4" w:space="0" w:color="auto"/>
              <w:right w:val="nil"/>
            </w:tcBorders>
            <w:shd w:val="clear" w:color="auto" w:fill="0C2577"/>
            <w:vAlign w:val="center"/>
            <w:hideMark/>
          </w:tcPr>
          <w:p w14:paraId="1C7883E0" w14:textId="77777777" w:rsidR="00E37D91" w:rsidRPr="00E37D91" w:rsidRDefault="00E37D91" w:rsidP="00E37D91">
            <w:pPr>
              <w:keepNext/>
              <w:jc w:val="center"/>
              <w:rPr>
                <w:rFonts w:cs="Calibri"/>
                <w:b/>
                <w:bCs/>
                <w:color w:val="FFFFFF"/>
                <w:sz w:val="22"/>
                <w:szCs w:val="22"/>
              </w:rPr>
            </w:pPr>
            <w:r w:rsidRPr="00E37D91">
              <w:rPr>
                <w:rFonts w:cs="Calibri"/>
                <w:b/>
                <w:bCs/>
                <w:color w:val="FFFFFF"/>
                <w:sz w:val="22"/>
                <w:szCs w:val="22"/>
              </w:rPr>
              <w:t>Ref. Load (kWh/h)</w:t>
            </w:r>
          </w:p>
        </w:tc>
        <w:tc>
          <w:tcPr>
            <w:tcW w:w="989" w:type="dxa"/>
            <w:tcBorders>
              <w:top w:val="nil"/>
              <w:left w:val="single" w:sz="4" w:space="0" w:color="FFFFFF"/>
              <w:bottom w:val="single" w:sz="4" w:space="0" w:color="auto"/>
              <w:right w:val="nil"/>
            </w:tcBorders>
            <w:shd w:val="clear" w:color="auto" w:fill="0C2577"/>
            <w:vAlign w:val="center"/>
            <w:hideMark/>
          </w:tcPr>
          <w:p w14:paraId="5667FBC5" w14:textId="77777777" w:rsidR="00E37D91" w:rsidRPr="00E37D91" w:rsidRDefault="00E37D91" w:rsidP="00E37D91">
            <w:pPr>
              <w:keepNext/>
              <w:jc w:val="center"/>
              <w:rPr>
                <w:rFonts w:cs="Calibri"/>
                <w:b/>
                <w:bCs/>
                <w:color w:val="FFFFFF"/>
                <w:sz w:val="22"/>
                <w:szCs w:val="22"/>
              </w:rPr>
            </w:pPr>
            <w:r w:rsidRPr="00E37D91">
              <w:rPr>
                <w:rFonts w:cs="Calibri"/>
                <w:b/>
                <w:bCs/>
                <w:color w:val="FFFFFF"/>
                <w:sz w:val="22"/>
                <w:szCs w:val="22"/>
              </w:rPr>
              <w:t>Load Impact (kWh/h)</w:t>
            </w:r>
          </w:p>
        </w:tc>
        <w:tc>
          <w:tcPr>
            <w:tcW w:w="925" w:type="dxa"/>
            <w:tcBorders>
              <w:top w:val="nil"/>
              <w:left w:val="single" w:sz="4" w:space="0" w:color="FFFFFF"/>
              <w:bottom w:val="single" w:sz="4" w:space="0" w:color="auto"/>
              <w:right w:val="single" w:sz="4" w:space="0" w:color="FFFFFF"/>
            </w:tcBorders>
            <w:shd w:val="clear" w:color="auto" w:fill="0C2577"/>
            <w:vAlign w:val="center"/>
            <w:hideMark/>
          </w:tcPr>
          <w:p w14:paraId="6E3294C6" w14:textId="77777777" w:rsidR="00E37D91" w:rsidRPr="00E37D91" w:rsidRDefault="00E37D91" w:rsidP="00E37D91">
            <w:pPr>
              <w:keepNext/>
              <w:jc w:val="center"/>
              <w:rPr>
                <w:rFonts w:cs="Calibri"/>
                <w:b/>
                <w:bCs/>
                <w:color w:val="FFFFFF"/>
                <w:sz w:val="22"/>
                <w:szCs w:val="22"/>
              </w:rPr>
            </w:pPr>
            <w:r w:rsidRPr="00E37D91">
              <w:rPr>
                <w:rFonts w:cs="Calibri"/>
                <w:b/>
                <w:bCs/>
                <w:color w:val="FFFFFF"/>
                <w:sz w:val="22"/>
                <w:szCs w:val="22"/>
              </w:rPr>
              <w:t>% Load Impact</w:t>
            </w:r>
          </w:p>
        </w:tc>
        <w:tc>
          <w:tcPr>
            <w:tcW w:w="877" w:type="dxa"/>
            <w:tcBorders>
              <w:top w:val="nil"/>
              <w:left w:val="nil"/>
              <w:bottom w:val="single" w:sz="4" w:space="0" w:color="auto"/>
              <w:right w:val="single" w:sz="4" w:space="0" w:color="auto"/>
            </w:tcBorders>
            <w:shd w:val="clear" w:color="auto" w:fill="0C2577"/>
            <w:vAlign w:val="center"/>
            <w:hideMark/>
          </w:tcPr>
          <w:p w14:paraId="25825276" w14:textId="77777777" w:rsidR="00E37D91" w:rsidRPr="00E37D91" w:rsidRDefault="00E37D91" w:rsidP="00E37D91">
            <w:pPr>
              <w:keepNext/>
              <w:jc w:val="center"/>
              <w:rPr>
                <w:rFonts w:cs="Calibri"/>
                <w:b/>
                <w:bCs/>
                <w:color w:val="FFFFFF"/>
                <w:sz w:val="22"/>
                <w:szCs w:val="22"/>
              </w:rPr>
            </w:pPr>
            <w:r w:rsidRPr="00E37D91">
              <w:rPr>
                <w:rFonts w:cs="Calibri"/>
                <w:b/>
                <w:bCs/>
                <w:color w:val="FFFFFF"/>
                <w:sz w:val="22"/>
                <w:szCs w:val="22"/>
              </w:rPr>
              <w:t>Ave. Event Temp.</w:t>
            </w:r>
          </w:p>
        </w:tc>
      </w:tr>
      <w:tr w:rsidR="00E37D91" w:rsidRPr="00E37D91" w14:paraId="76BFFDA1" w14:textId="77777777" w:rsidTr="002C1FA8">
        <w:trPr>
          <w:trHeight w:val="300"/>
          <w:jc w:val="center"/>
        </w:trPr>
        <w:tc>
          <w:tcPr>
            <w:tcW w:w="90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547CC4BC" w14:textId="77777777" w:rsidR="00E37D91" w:rsidRPr="00E37D91" w:rsidRDefault="00E37D91" w:rsidP="00E37D91">
            <w:pPr>
              <w:keepNext/>
              <w:jc w:val="center"/>
              <w:rPr>
                <w:rFonts w:cs="Calibri"/>
                <w:sz w:val="22"/>
                <w:szCs w:val="22"/>
              </w:rPr>
            </w:pPr>
            <w:r w:rsidRPr="00E37D91">
              <w:rPr>
                <w:rFonts w:cs="Calibri"/>
                <w:sz w:val="22"/>
                <w:szCs w:val="22"/>
              </w:rPr>
              <w:t>SCTD</w:t>
            </w:r>
          </w:p>
        </w:tc>
        <w:tc>
          <w:tcPr>
            <w:tcW w:w="2525" w:type="dxa"/>
            <w:tcBorders>
              <w:top w:val="nil"/>
              <w:left w:val="nil"/>
              <w:bottom w:val="nil"/>
              <w:right w:val="single" w:sz="4" w:space="0" w:color="auto"/>
            </w:tcBorders>
            <w:shd w:val="clear" w:color="000000" w:fill="FFFFFF"/>
            <w:noWrap/>
            <w:vAlign w:val="bottom"/>
            <w:hideMark/>
          </w:tcPr>
          <w:p w14:paraId="519455DC" w14:textId="77777777" w:rsidR="00E37D91" w:rsidRPr="00E37D91" w:rsidRDefault="00E37D91" w:rsidP="00E37D91">
            <w:pPr>
              <w:keepNext/>
              <w:jc w:val="right"/>
              <w:rPr>
                <w:rFonts w:cs="Calibri"/>
                <w:sz w:val="22"/>
                <w:szCs w:val="22"/>
              </w:rPr>
            </w:pPr>
            <w:r w:rsidRPr="00E37D91">
              <w:rPr>
                <w:rFonts w:cs="Calibri"/>
                <w:sz w:val="22"/>
                <w:szCs w:val="22"/>
              </w:rPr>
              <w:t>Aug 31, 2017</w:t>
            </w:r>
          </w:p>
        </w:tc>
        <w:tc>
          <w:tcPr>
            <w:tcW w:w="990" w:type="dxa"/>
            <w:tcBorders>
              <w:top w:val="nil"/>
              <w:left w:val="nil"/>
              <w:bottom w:val="nil"/>
              <w:right w:val="single" w:sz="4" w:space="0" w:color="auto"/>
            </w:tcBorders>
            <w:shd w:val="clear" w:color="000000" w:fill="FFFFFF"/>
            <w:noWrap/>
            <w:vAlign w:val="bottom"/>
            <w:hideMark/>
          </w:tcPr>
          <w:p w14:paraId="42AEB289" w14:textId="77777777" w:rsidR="00E37D91" w:rsidRPr="00E37D91" w:rsidRDefault="00E37D91" w:rsidP="00E37D91">
            <w:pPr>
              <w:keepNext/>
              <w:jc w:val="center"/>
              <w:rPr>
                <w:rFonts w:cs="Calibri"/>
                <w:sz w:val="22"/>
                <w:szCs w:val="22"/>
              </w:rPr>
            </w:pPr>
            <w:r w:rsidRPr="00E37D91">
              <w:rPr>
                <w:rFonts w:cs="Calibri"/>
                <w:sz w:val="22"/>
                <w:szCs w:val="22"/>
              </w:rPr>
              <w:t>341</w:t>
            </w:r>
          </w:p>
        </w:tc>
        <w:tc>
          <w:tcPr>
            <w:tcW w:w="1084" w:type="dxa"/>
            <w:tcBorders>
              <w:top w:val="nil"/>
              <w:left w:val="nil"/>
              <w:bottom w:val="nil"/>
              <w:right w:val="single" w:sz="4" w:space="0" w:color="auto"/>
            </w:tcBorders>
            <w:shd w:val="clear" w:color="000000" w:fill="FFFFFF"/>
            <w:noWrap/>
            <w:vAlign w:val="bottom"/>
            <w:hideMark/>
          </w:tcPr>
          <w:p w14:paraId="430414E6" w14:textId="77777777" w:rsidR="00E37D91" w:rsidRPr="00E37D91" w:rsidRDefault="00E37D91" w:rsidP="00E37D91">
            <w:pPr>
              <w:keepNext/>
              <w:jc w:val="center"/>
              <w:rPr>
                <w:rFonts w:cs="Calibri"/>
                <w:sz w:val="22"/>
                <w:szCs w:val="22"/>
              </w:rPr>
            </w:pPr>
            <w:r w:rsidRPr="00E37D91">
              <w:rPr>
                <w:rFonts w:cs="Calibri"/>
                <w:sz w:val="22"/>
                <w:szCs w:val="22"/>
              </w:rPr>
              <w:t>0.55</w:t>
            </w:r>
          </w:p>
        </w:tc>
        <w:tc>
          <w:tcPr>
            <w:tcW w:w="1076" w:type="dxa"/>
            <w:tcBorders>
              <w:top w:val="nil"/>
              <w:left w:val="nil"/>
              <w:bottom w:val="nil"/>
              <w:right w:val="single" w:sz="4" w:space="0" w:color="auto"/>
            </w:tcBorders>
            <w:shd w:val="clear" w:color="000000" w:fill="FFFFFF"/>
            <w:noWrap/>
            <w:vAlign w:val="bottom"/>
            <w:hideMark/>
          </w:tcPr>
          <w:p w14:paraId="0EA2A150" w14:textId="77777777" w:rsidR="00E37D91" w:rsidRPr="00E37D91" w:rsidRDefault="00E37D91" w:rsidP="00E37D91">
            <w:pPr>
              <w:keepNext/>
              <w:jc w:val="center"/>
              <w:rPr>
                <w:rFonts w:cs="Calibri"/>
                <w:sz w:val="22"/>
                <w:szCs w:val="22"/>
              </w:rPr>
            </w:pPr>
            <w:r w:rsidRPr="00E37D91">
              <w:rPr>
                <w:rFonts w:cs="Calibri"/>
                <w:sz w:val="22"/>
                <w:szCs w:val="22"/>
              </w:rPr>
              <w:t>0.12</w:t>
            </w:r>
          </w:p>
        </w:tc>
        <w:tc>
          <w:tcPr>
            <w:tcW w:w="989" w:type="dxa"/>
            <w:tcBorders>
              <w:top w:val="nil"/>
              <w:left w:val="nil"/>
              <w:bottom w:val="nil"/>
              <w:right w:val="single" w:sz="4" w:space="0" w:color="auto"/>
            </w:tcBorders>
            <w:shd w:val="clear" w:color="000000" w:fill="FFFFFF"/>
            <w:noWrap/>
            <w:vAlign w:val="bottom"/>
            <w:hideMark/>
          </w:tcPr>
          <w:p w14:paraId="101320CE" w14:textId="77777777" w:rsidR="00E37D91" w:rsidRPr="00E37D91" w:rsidRDefault="00E37D91" w:rsidP="00E37D91">
            <w:pPr>
              <w:keepNext/>
              <w:jc w:val="center"/>
              <w:rPr>
                <w:rFonts w:cs="Calibri"/>
                <w:sz w:val="22"/>
                <w:szCs w:val="22"/>
              </w:rPr>
            </w:pPr>
            <w:r w:rsidRPr="00E37D91">
              <w:rPr>
                <w:rFonts w:cs="Calibri"/>
                <w:sz w:val="22"/>
                <w:szCs w:val="22"/>
              </w:rPr>
              <w:t>1.61</w:t>
            </w:r>
          </w:p>
        </w:tc>
        <w:tc>
          <w:tcPr>
            <w:tcW w:w="989" w:type="dxa"/>
            <w:tcBorders>
              <w:top w:val="nil"/>
              <w:left w:val="nil"/>
              <w:bottom w:val="nil"/>
              <w:right w:val="single" w:sz="4" w:space="0" w:color="auto"/>
            </w:tcBorders>
            <w:shd w:val="clear" w:color="000000" w:fill="FFFFFF"/>
            <w:noWrap/>
            <w:vAlign w:val="bottom"/>
            <w:hideMark/>
          </w:tcPr>
          <w:p w14:paraId="48DE2ECA" w14:textId="77777777" w:rsidR="00E37D91" w:rsidRPr="00E37D91" w:rsidRDefault="00E37D91" w:rsidP="00E37D91">
            <w:pPr>
              <w:keepNext/>
              <w:jc w:val="center"/>
              <w:rPr>
                <w:rFonts w:cs="Calibri"/>
                <w:sz w:val="22"/>
                <w:szCs w:val="22"/>
              </w:rPr>
            </w:pPr>
            <w:r w:rsidRPr="00E37D91">
              <w:rPr>
                <w:rFonts w:cs="Calibri"/>
                <w:sz w:val="22"/>
                <w:szCs w:val="22"/>
              </w:rPr>
              <w:t>0.36</w:t>
            </w:r>
          </w:p>
        </w:tc>
        <w:tc>
          <w:tcPr>
            <w:tcW w:w="925" w:type="dxa"/>
            <w:tcBorders>
              <w:top w:val="nil"/>
              <w:left w:val="nil"/>
              <w:bottom w:val="nil"/>
              <w:right w:val="single" w:sz="4" w:space="0" w:color="auto"/>
            </w:tcBorders>
            <w:shd w:val="clear" w:color="000000" w:fill="FFFFFF"/>
            <w:noWrap/>
            <w:vAlign w:val="bottom"/>
            <w:hideMark/>
          </w:tcPr>
          <w:p w14:paraId="0EB5DED1" w14:textId="77777777" w:rsidR="00E37D91" w:rsidRPr="00E37D91" w:rsidRDefault="00E37D91" w:rsidP="00E37D91">
            <w:pPr>
              <w:keepNext/>
              <w:jc w:val="center"/>
              <w:rPr>
                <w:rFonts w:cs="Calibri"/>
                <w:sz w:val="22"/>
                <w:szCs w:val="22"/>
              </w:rPr>
            </w:pPr>
            <w:r w:rsidRPr="00E37D91">
              <w:rPr>
                <w:rFonts w:cs="Calibri"/>
                <w:sz w:val="22"/>
                <w:szCs w:val="22"/>
              </w:rPr>
              <w:t>22.3%</w:t>
            </w:r>
          </w:p>
        </w:tc>
        <w:tc>
          <w:tcPr>
            <w:tcW w:w="877" w:type="dxa"/>
            <w:tcBorders>
              <w:top w:val="nil"/>
              <w:left w:val="nil"/>
              <w:bottom w:val="nil"/>
              <w:right w:val="single" w:sz="4" w:space="0" w:color="auto"/>
            </w:tcBorders>
            <w:shd w:val="clear" w:color="000000" w:fill="FFFFFF"/>
            <w:noWrap/>
            <w:vAlign w:val="bottom"/>
            <w:hideMark/>
          </w:tcPr>
          <w:p w14:paraId="7231ACD3" w14:textId="77777777" w:rsidR="00E37D91" w:rsidRPr="00E37D91" w:rsidRDefault="00E37D91" w:rsidP="00E37D91">
            <w:pPr>
              <w:keepNext/>
              <w:jc w:val="center"/>
              <w:rPr>
                <w:rFonts w:cs="Calibri"/>
                <w:sz w:val="22"/>
                <w:szCs w:val="22"/>
              </w:rPr>
            </w:pPr>
            <w:r w:rsidRPr="00E37D91">
              <w:rPr>
                <w:rFonts w:cs="Calibri"/>
                <w:sz w:val="22"/>
                <w:szCs w:val="22"/>
              </w:rPr>
              <w:t>90</w:t>
            </w:r>
          </w:p>
        </w:tc>
      </w:tr>
      <w:tr w:rsidR="00E37D91" w:rsidRPr="00E37D91" w14:paraId="713F99BD" w14:textId="77777777" w:rsidTr="002C1FA8">
        <w:trPr>
          <w:trHeight w:val="300"/>
          <w:jc w:val="center"/>
        </w:trPr>
        <w:tc>
          <w:tcPr>
            <w:tcW w:w="905" w:type="dxa"/>
            <w:vMerge/>
            <w:tcBorders>
              <w:top w:val="nil"/>
              <w:left w:val="single" w:sz="4" w:space="0" w:color="auto"/>
              <w:bottom w:val="single" w:sz="4" w:space="0" w:color="000000"/>
              <w:right w:val="single" w:sz="4" w:space="0" w:color="auto"/>
            </w:tcBorders>
            <w:vAlign w:val="center"/>
            <w:hideMark/>
          </w:tcPr>
          <w:p w14:paraId="3E7207BE" w14:textId="77777777" w:rsidR="00E37D91" w:rsidRPr="00E37D91" w:rsidRDefault="00E37D91" w:rsidP="00E37D91">
            <w:pPr>
              <w:keepNext/>
              <w:rPr>
                <w:rFonts w:cs="Calibri"/>
                <w:sz w:val="22"/>
                <w:szCs w:val="22"/>
              </w:rPr>
            </w:pPr>
          </w:p>
        </w:tc>
        <w:tc>
          <w:tcPr>
            <w:tcW w:w="2525" w:type="dxa"/>
            <w:tcBorders>
              <w:top w:val="nil"/>
              <w:left w:val="nil"/>
              <w:bottom w:val="nil"/>
              <w:right w:val="single" w:sz="4" w:space="0" w:color="auto"/>
            </w:tcBorders>
            <w:shd w:val="clear" w:color="000000" w:fill="FFFFFF"/>
            <w:noWrap/>
            <w:vAlign w:val="bottom"/>
            <w:hideMark/>
          </w:tcPr>
          <w:p w14:paraId="379FE069" w14:textId="56F2CA15" w:rsidR="00E37D91" w:rsidRPr="00E37D91" w:rsidRDefault="00E37D91" w:rsidP="00E37D91">
            <w:pPr>
              <w:keepNext/>
              <w:jc w:val="right"/>
              <w:rPr>
                <w:rFonts w:cs="Calibri"/>
                <w:sz w:val="22"/>
                <w:szCs w:val="22"/>
              </w:rPr>
            </w:pPr>
            <w:r w:rsidRPr="00E37D91">
              <w:rPr>
                <w:rFonts w:cs="Calibri"/>
                <w:sz w:val="22"/>
                <w:szCs w:val="22"/>
              </w:rPr>
              <w:t>Sep 1, 2017</w:t>
            </w:r>
          </w:p>
        </w:tc>
        <w:tc>
          <w:tcPr>
            <w:tcW w:w="990" w:type="dxa"/>
            <w:tcBorders>
              <w:top w:val="nil"/>
              <w:left w:val="nil"/>
              <w:bottom w:val="nil"/>
              <w:right w:val="single" w:sz="4" w:space="0" w:color="auto"/>
            </w:tcBorders>
            <w:shd w:val="clear" w:color="000000" w:fill="FFFFFF"/>
            <w:noWrap/>
            <w:vAlign w:val="bottom"/>
            <w:hideMark/>
          </w:tcPr>
          <w:p w14:paraId="0B70F490" w14:textId="77777777" w:rsidR="00E37D91" w:rsidRPr="00E37D91" w:rsidRDefault="00E37D91" w:rsidP="00E37D91">
            <w:pPr>
              <w:keepNext/>
              <w:jc w:val="center"/>
              <w:rPr>
                <w:rFonts w:cs="Calibri"/>
                <w:sz w:val="22"/>
                <w:szCs w:val="22"/>
              </w:rPr>
            </w:pPr>
            <w:r w:rsidRPr="00E37D91">
              <w:rPr>
                <w:rFonts w:cs="Calibri"/>
                <w:sz w:val="22"/>
                <w:szCs w:val="22"/>
              </w:rPr>
              <w:t>342</w:t>
            </w:r>
          </w:p>
        </w:tc>
        <w:tc>
          <w:tcPr>
            <w:tcW w:w="1084" w:type="dxa"/>
            <w:tcBorders>
              <w:top w:val="nil"/>
              <w:left w:val="nil"/>
              <w:bottom w:val="nil"/>
              <w:right w:val="single" w:sz="4" w:space="0" w:color="auto"/>
            </w:tcBorders>
            <w:shd w:val="clear" w:color="000000" w:fill="FFFFFF"/>
            <w:noWrap/>
            <w:vAlign w:val="bottom"/>
            <w:hideMark/>
          </w:tcPr>
          <w:p w14:paraId="0762F8AE" w14:textId="77777777" w:rsidR="00E37D91" w:rsidRPr="00E37D91" w:rsidRDefault="00E37D91" w:rsidP="00E37D91">
            <w:pPr>
              <w:keepNext/>
              <w:jc w:val="center"/>
              <w:rPr>
                <w:rFonts w:cs="Calibri"/>
                <w:sz w:val="22"/>
                <w:szCs w:val="22"/>
              </w:rPr>
            </w:pPr>
            <w:r w:rsidRPr="00E37D91">
              <w:rPr>
                <w:rFonts w:cs="Calibri"/>
                <w:sz w:val="22"/>
                <w:szCs w:val="22"/>
              </w:rPr>
              <w:t>0.63</w:t>
            </w:r>
          </w:p>
        </w:tc>
        <w:tc>
          <w:tcPr>
            <w:tcW w:w="1076" w:type="dxa"/>
            <w:tcBorders>
              <w:top w:val="nil"/>
              <w:left w:val="nil"/>
              <w:bottom w:val="nil"/>
              <w:right w:val="single" w:sz="4" w:space="0" w:color="auto"/>
            </w:tcBorders>
            <w:shd w:val="clear" w:color="000000" w:fill="FFFFFF"/>
            <w:noWrap/>
            <w:vAlign w:val="bottom"/>
            <w:hideMark/>
          </w:tcPr>
          <w:p w14:paraId="7AEADFCF" w14:textId="77777777" w:rsidR="00E37D91" w:rsidRPr="00E37D91" w:rsidRDefault="00E37D91" w:rsidP="00E37D91">
            <w:pPr>
              <w:keepNext/>
              <w:jc w:val="center"/>
              <w:rPr>
                <w:rFonts w:cs="Calibri"/>
                <w:sz w:val="22"/>
                <w:szCs w:val="22"/>
              </w:rPr>
            </w:pPr>
            <w:r w:rsidRPr="00E37D91">
              <w:rPr>
                <w:rFonts w:cs="Calibri"/>
                <w:sz w:val="22"/>
                <w:szCs w:val="22"/>
              </w:rPr>
              <w:t>0.12</w:t>
            </w:r>
          </w:p>
        </w:tc>
        <w:tc>
          <w:tcPr>
            <w:tcW w:w="989" w:type="dxa"/>
            <w:tcBorders>
              <w:top w:val="nil"/>
              <w:left w:val="nil"/>
              <w:bottom w:val="nil"/>
              <w:right w:val="single" w:sz="4" w:space="0" w:color="auto"/>
            </w:tcBorders>
            <w:shd w:val="clear" w:color="000000" w:fill="FFFFFF"/>
            <w:noWrap/>
            <w:vAlign w:val="bottom"/>
            <w:hideMark/>
          </w:tcPr>
          <w:p w14:paraId="1F98F5AC" w14:textId="77777777" w:rsidR="00E37D91" w:rsidRPr="00E37D91" w:rsidRDefault="00E37D91" w:rsidP="00E37D91">
            <w:pPr>
              <w:keepNext/>
              <w:jc w:val="center"/>
              <w:rPr>
                <w:rFonts w:cs="Calibri"/>
                <w:sz w:val="22"/>
                <w:szCs w:val="22"/>
              </w:rPr>
            </w:pPr>
            <w:r w:rsidRPr="00E37D91">
              <w:rPr>
                <w:rFonts w:cs="Calibri"/>
                <w:sz w:val="22"/>
                <w:szCs w:val="22"/>
              </w:rPr>
              <w:t>1.85</w:t>
            </w:r>
          </w:p>
        </w:tc>
        <w:tc>
          <w:tcPr>
            <w:tcW w:w="989" w:type="dxa"/>
            <w:tcBorders>
              <w:top w:val="nil"/>
              <w:left w:val="nil"/>
              <w:bottom w:val="nil"/>
              <w:right w:val="single" w:sz="4" w:space="0" w:color="auto"/>
            </w:tcBorders>
            <w:shd w:val="clear" w:color="000000" w:fill="FFFFFF"/>
            <w:noWrap/>
            <w:vAlign w:val="bottom"/>
            <w:hideMark/>
          </w:tcPr>
          <w:p w14:paraId="4A15897F" w14:textId="77777777" w:rsidR="00E37D91" w:rsidRPr="00E37D91" w:rsidRDefault="00E37D91" w:rsidP="00E37D91">
            <w:pPr>
              <w:keepNext/>
              <w:jc w:val="center"/>
              <w:rPr>
                <w:rFonts w:cs="Calibri"/>
                <w:sz w:val="22"/>
                <w:szCs w:val="22"/>
              </w:rPr>
            </w:pPr>
            <w:r w:rsidRPr="00E37D91">
              <w:rPr>
                <w:rFonts w:cs="Calibri"/>
                <w:sz w:val="22"/>
                <w:szCs w:val="22"/>
              </w:rPr>
              <w:t>0.34</w:t>
            </w:r>
          </w:p>
        </w:tc>
        <w:tc>
          <w:tcPr>
            <w:tcW w:w="925" w:type="dxa"/>
            <w:tcBorders>
              <w:top w:val="nil"/>
              <w:left w:val="nil"/>
              <w:bottom w:val="nil"/>
              <w:right w:val="single" w:sz="4" w:space="0" w:color="auto"/>
            </w:tcBorders>
            <w:shd w:val="clear" w:color="000000" w:fill="FFFFFF"/>
            <w:noWrap/>
            <w:vAlign w:val="bottom"/>
            <w:hideMark/>
          </w:tcPr>
          <w:p w14:paraId="3748A7F3" w14:textId="77777777" w:rsidR="00E37D91" w:rsidRPr="00E37D91" w:rsidRDefault="00E37D91" w:rsidP="00E37D91">
            <w:pPr>
              <w:keepNext/>
              <w:jc w:val="center"/>
              <w:rPr>
                <w:rFonts w:cs="Calibri"/>
                <w:sz w:val="22"/>
                <w:szCs w:val="22"/>
              </w:rPr>
            </w:pPr>
            <w:r w:rsidRPr="00E37D91">
              <w:rPr>
                <w:rFonts w:cs="Calibri"/>
                <w:sz w:val="22"/>
                <w:szCs w:val="22"/>
              </w:rPr>
              <w:t>18.4%</w:t>
            </w:r>
          </w:p>
        </w:tc>
        <w:tc>
          <w:tcPr>
            <w:tcW w:w="877" w:type="dxa"/>
            <w:tcBorders>
              <w:top w:val="nil"/>
              <w:left w:val="nil"/>
              <w:bottom w:val="nil"/>
              <w:right w:val="single" w:sz="4" w:space="0" w:color="auto"/>
            </w:tcBorders>
            <w:shd w:val="clear" w:color="000000" w:fill="FFFFFF"/>
            <w:noWrap/>
            <w:vAlign w:val="bottom"/>
            <w:hideMark/>
          </w:tcPr>
          <w:p w14:paraId="795FF4CF" w14:textId="77777777" w:rsidR="00E37D91" w:rsidRPr="00E37D91" w:rsidRDefault="00E37D91" w:rsidP="00E37D91">
            <w:pPr>
              <w:keepNext/>
              <w:jc w:val="center"/>
              <w:rPr>
                <w:rFonts w:cs="Calibri"/>
                <w:sz w:val="22"/>
                <w:szCs w:val="22"/>
              </w:rPr>
            </w:pPr>
            <w:r w:rsidRPr="00E37D91">
              <w:rPr>
                <w:rFonts w:cs="Calibri"/>
                <w:sz w:val="22"/>
                <w:szCs w:val="22"/>
              </w:rPr>
              <w:t>96</w:t>
            </w:r>
          </w:p>
        </w:tc>
      </w:tr>
      <w:tr w:rsidR="00E37D91" w:rsidRPr="00E37D91" w14:paraId="52E03F6B" w14:textId="77777777" w:rsidTr="002C1FA8">
        <w:trPr>
          <w:trHeight w:val="300"/>
          <w:jc w:val="center"/>
        </w:trPr>
        <w:tc>
          <w:tcPr>
            <w:tcW w:w="905" w:type="dxa"/>
            <w:vMerge/>
            <w:tcBorders>
              <w:top w:val="nil"/>
              <w:left w:val="single" w:sz="4" w:space="0" w:color="auto"/>
              <w:bottom w:val="single" w:sz="4" w:space="0" w:color="000000"/>
              <w:right w:val="single" w:sz="4" w:space="0" w:color="auto"/>
            </w:tcBorders>
            <w:vAlign w:val="center"/>
            <w:hideMark/>
          </w:tcPr>
          <w:p w14:paraId="2FF9E145" w14:textId="77777777" w:rsidR="00E37D91" w:rsidRPr="00E37D91" w:rsidRDefault="00E37D91" w:rsidP="00E37D91">
            <w:pPr>
              <w:keepNext/>
              <w:rPr>
                <w:rFonts w:cs="Calibri"/>
                <w:sz w:val="22"/>
                <w:szCs w:val="22"/>
              </w:rPr>
            </w:pPr>
          </w:p>
        </w:tc>
        <w:tc>
          <w:tcPr>
            <w:tcW w:w="2525" w:type="dxa"/>
            <w:tcBorders>
              <w:top w:val="nil"/>
              <w:left w:val="nil"/>
              <w:bottom w:val="nil"/>
              <w:right w:val="single" w:sz="4" w:space="0" w:color="auto"/>
            </w:tcBorders>
            <w:shd w:val="clear" w:color="000000" w:fill="FFFFFF"/>
            <w:noWrap/>
            <w:vAlign w:val="bottom"/>
            <w:hideMark/>
          </w:tcPr>
          <w:p w14:paraId="2043E66A" w14:textId="54E54731" w:rsidR="00E37D91" w:rsidRPr="00E37D91" w:rsidRDefault="009B006F" w:rsidP="00E37D91">
            <w:pPr>
              <w:keepNext/>
              <w:jc w:val="right"/>
              <w:rPr>
                <w:rFonts w:cs="Calibri"/>
                <w:sz w:val="22"/>
                <w:szCs w:val="22"/>
              </w:rPr>
            </w:pPr>
            <w:r>
              <w:rPr>
                <w:rFonts w:cs="Calibri"/>
                <w:sz w:val="22"/>
                <w:szCs w:val="22"/>
              </w:rPr>
              <w:t>Sep</w:t>
            </w:r>
            <w:r w:rsidR="00E37D91" w:rsidRPr="00E37D91">
              <w:rPr>
                <w:rFonts w:cs="Calibri"/>
                <w:sz w:val="22"/>
                <w:szCs w:val="22"/>
              </w:rPr>
              <w:t xml:space="preserve"> 2, 2017</w:t>
            </w:r>
          </w:p>
        </w:tc>
        <w:tc>
          <w:tcPr>
            <w:tcW w:w="990" w:type="dxa"/>
            <w:tcBorders>
              <w:top w:val="nil"/>
              <w:left w:val="nil"/>
              <w:bottom w:val="nil"/>
              <w:right w:val="single" w:sz="4" w:space="0" w:color="auto"/>
            </w:tcBorders>
            <w:shd w:val="clear" w:color="000000" w:fill="FFFFFF"/>
            <w:noWrap/>
            <w:vAlign w:val="bottom"/>
            <w:hideMark/>
          </w:tcPr>
          <w:p w14:paraId="67EB3BE2" w14:textId="77777777" w:rsidR="00E37D91" w:rsidRPr="00E37D91" w:rsidRDefault="00E37D91" w:rsidP="00E37D91">
            <w:pPr>
              <w:keepNext/>
              <w:jc w:val="center"/>
              <w:rPr>
                <w:rFonts w:cs="Calibri"/>
                <w:sz w:val="22"/>
                <w:szCs w:val="22"/>
              </w:rPr>
            </w:pPr>
            <w:r w:rsidRPr="00E37D91">
              <w:rPr>
                <w:rFonts w:cs="Calibri"/>
                <w:sz w:val="22"/>
                <w:szCs w:val="22"/>
              </w:rPr>
              <w:t>342</w:t>
            </w:r>
          </w:p>
        </w:tc>
        <w:tc>
          <w:tcPr>
            <w:tcW w:w="1084" w:type="dxa"/>
            <w:tcBorders>
              <w:top w:val="nil"/>
              <w:left w:val="nil"/>
              <w:bottom w:val="nil"/>
              <w:right w:val="single" w:sz="4" w:space="0" w:color="auto"/>
            </w:tcBorders>
            <w:shd w:val="clear" w:color="000000" w:fill="FFFFFF"/>
            <w:noWrap/>
            <w:vAlign w:val="bottom"/>
            <w:hideMark/>
          </w:tcPr>
          <w:p w14:paraId="466542F7" w14:textId="77777777" w:rsidR="00E37D91" w:rsidRPr="00E37D91" w:rsidRDefault="00E37D91" w:rsidP="00E37D91">
            <w:pPr>
              <w:keepNext/>
              <w:jc w:val="center"/>
              <w:rPr>
                <w:rFonts w:cs="Calibri"/>
                <w:sz w:val="22"/>
                <w:szCs w:val="22"/>
              </w:rPr>
            </w:pPr>
            <w:r w:rsidRPr="00E37D91">
              <w:rPr>
                <w:rFonts w:cs="Calibri"/>
                <w:sz w:val="22"/>
                <w:szCs w:val="22"/>
              </w:rPr>
              <w:t>0.69</w:t>
            </w:r>
          </w:p>
        </w:tc>
        <w:tc>
          <w:tcPr>
            <w:tcW w:w="1076" w:type="dxa"/>
            <w:tcBorders>
              <w:top w:val="nil"/>
              <w:left w:val="nil"/>
              <w:bottom w:val="nil"/>
              <w:right w:val="single" w:sz="4" w:space="0" w:color="auto"/>
            </w:tcBorders>
            <w:shd w:val="clear" w:color="000000" w:fill="FFFFFF"/>
            <w:noWrap/>
            <w:vAlign w:val="bottom"/>
            <w:hideMark/>
          </w:tcPr>
          <w:p w14:paraId="35C6CCDB" w14:textId="77777777" w:rsidR="00E37D91" w:rsidRPr="00E37D91" w:rsidRDefault="00E37D91" w:rsidP="00E37D91">
            <w:pPr>
              <w:keepNext/>
              <w:jc w:val="center"/>
              <w:rPr>
                <w:rFonts w:cs="Calibri"/>
                <w:sz w:val="22"/>
                <w:szCs w:val="22"/>
              </w:rPr>
            </w:pPr>
            <w:r w:rsidRPr="00E37D91">
              <w:rPr>
                <w:rFonts w:cs="Calibri"/>
                <w:sz w:val="22"/>
                <w:szCs w:val="22"/>
              </w:rPr>
              <w:t>0.03</w:t>
            </w:r>
          </w:p>
        </w:tc>
        <w:tc>
          <w:tcPr>
            <w:tcW w:w="989" w:type="dxa"/>
            <w:tcBorders>
              <w:top w:val="nil"/>
              <w:left w:val="nil"/>
              <w:bottom w:val="nil"/>
              <w:right w:val="single" w:sz="4" w:space="0" w:color="auto"/>
            </w:tcBorders>
            <w:shd w:val="clear" w:color="000000" w:fill="FFFFFF"/>
            <w:noWrap/>
            <w:vAlign w:val="bottom"/>
            <w:hideMark/>
          </w:tcPr>
          <w:p w14:paraId="26ADC035" w14:textId="77777777" w:rsidR="00E37D91" w:rsidRPr="00E37D91" w:rsidRDefault="00E37D91" w:rsidP="00E37D91">
            <w:pPr>
              <w:keepNext/>
              <w:jc w:val="center"/>
              <w:rPr>
                <w:rFonts w:cs="Calibri"/>
                <w:sz w:val="22"/>
                <w:szCs w:val="22"/>
              </w:rPr>
            </w:pPr>
            <w:r w:rsidRPr="00E37D91">
              <w:rPr>
                <w:rFonts w:cs="Calibri"/>
                <w:sz w:val="22"/>
                <w:szCs w:val="22"/>
              </w:rPr>
              <w:t>2.01</w:t>
            </w:r>
          </w:p>
        </w:tc>
        <w:tc>
          <w:tcPr>
            <w:tcW w:w="989" w:type="dxa"/>
            <w:tcBorders>
              <w:top w:val="nil"/>
              <w:left w:val="nil"/>
              <w:bottom w:val="nil"/>
              <w:right w:val="single" w:sz="4" w:space="0" w:color="auto"/>
            </w:tcBorders>
            <w:shd w:val="clear" w:color="000000" w:fill="FFFFFF"/>
            <w:noWrap/>
            <w:vAlign w:val="bottom"/>
            <w:hideMark/>
          </w:tcPr>
          <w:p w14:paraId="72B37224" w14:textId="77777777" w:rsidR="00E37D91" w:rsidRPr="00E37D91" w:rsidRDefault="00E37D91" w:rsidP="00E37D91">
            <w:pPr>
              <w:keepNext/>
              <w:jc w:val="center"/>
              <w:rPr>
                <w:rFonts w:cs="Calibri"/>
                <w:sz w:val="22"/>
                <w:szCs w:val="22"/>
              </w:rPr>
            </w:pPr>
            <w:r w:rsidRPr="00E37D91">
              <w:rPr>
                <w:rFonts w:cs="Calibri"/>
                <w:sz w:val="22"/>
                <w:szCs w:val="22"/>
              </w:rPr>
              <w:t>0.08</w:t>
            </w:r>
          </w:p>
        </w:tc>
        <w:tc>
          <w:tcPr>
            <w:tcW w:w="925" w:type="dxa"/>
            <w:tcBorders>
              <w:top w:val="nil"/>
              <w:left w:val="nil"/>
              <w:bottom w:val="nil"/>
              <w:right w:val="single" w:sz="4" w:space="0" w:color="auto"/>
            </w:tcBorders>
            <w:shd w:val="clear" w:color="000000" w:fill="FFFFFF"/>
            <w:noWrap/>
            <w:vAlign w:val="bottom"/>
            <w:hideMark/>
          </w:tcPr>
          <w:p w14:paraId="692EB474" w14:textId="77777777" w:rsidR="00E37D91" w:rsidRPr="00E37D91" w:rsidRDefault="00E37D91" w:rsidP="00E37D91">
            <w:pPr>
              <w:keepNext/>
              <w:jc w:val="center"/>
              <w:rPr>
                <w:rFonts w:cs="Calibri"/>
                <w:sz w:val="22"/>
                <w:szCs w:val="22"/>
              </w:rPr>
            </w:pPr>
            <w:r w:rsidRPr="00E37D91">
              <w:rPr>
                <w:rFonts w:cs="Calibri"/>
                <w:sz w:val="22"/>
                <w:szCs w:val="22"/>
              </w:rPr>
              <w:t>3.9%</w:t>
            </w:r>
          </w:p>
        </w:tc>
        <w:tc>
          <w:tcPr>
            <w:tcW w:w="877" w:type="dxa"/>
            <w:tcBorders>
              <w:top w:val="nil"/>
              <w:left w:val="nil"/>
              <w:bottom w:val="nil"/>
              <w:right w:val="single" w:sz="4" w:space="0" w:color="auto"/>
            </w:tcBorders>
            <w:shd w:val="clear" w:color="000000" w:fill="FFFFFF"/>
            <w:noWrap/>
            <w:vAlign w:val="bottom"/>
            <w:hideMark/>
          </w:tcPr>
          <w:p w14:paraId="3FCDBD34" w14:textId="77777777" w:rsidR="00E37D91" w:rsidRPr="00E37D91" w:rsidRDefault="00E37D91" w:rsidP="00E37D91">
            <w:pPr>
              <w:keepNext/>
              <w:jc w:val="center"/>
              <w:rPr>
                <w:rFonts w:cs="Calibri"/>
                <w:sz w:val="22"/>
                <w:szCs w:val="22"/>
              </w:rPr>
            </w:pPr>
            <w:r w:rsidRPr="00E37D91">
              <w:rPr>
                <w:rFonts w:cs="Calibri"/>
                <w:sz w:val="22"/>
                <w:szCs w:val="22"/>
              </w:rPr>
              <w:t>96</w:t>
            </w:r>
          </w:p>
        </w:tc>
      </w:tr>
      <w:tr w:rsidR="00E37D91" w:rsidRPr="00E37D91" w14:paraId="6F439F35" w14:textId="77777777" w:rsidTr="002C1FA8">
        <w:trPr>
          <w:trHeight w:val="300"/>
          <w:jc w:val="center"/>
        </w:trPr>
        <w:tc>
          <w:tcPr>
            <w:tcW w:w="905" w:type="dxa"/>
            <w:vMerge/>
            <w:tcBorders>
              <w:top w:val="nil"/>
              <w:left w:val="single" w:sz="4" w:space="0" w:color="auto"/>
              <w:bottom w:val="single" w:sz="4" w:space="0" w:color="000000"/>
              <w:right w:val="single" w:sz="4" w:space="0" w:color="auto"/>
            </w:tcBorders>
            <w:vAlign w:val="center"/>
            <w:hideMark/>
          </w:tcPr>
          <w:p w14:paraId="7FEDC94E" w14:textId="77777777" w:rsidR="00E37D91" w:rsidRPr="00E37D91" w:rsidRDefault="00E37D91" w:rsidP="00E37D91">
            <w:pPr>
              <w:keepNext/>
              <w:rPr>
                <w:rFonts w:cs="Calibri"/>
                <w:sz w:val="22"/>
                <w:szCs w:val="22"/>
              </w:rPr>
            </w:pPr>
          </w:p>
        </w:tc>
        <w:tc>
          <w:tcPr>
            <w:tcW w:w="2525" w:type="dxa"/>
            <w:tcBorders>
              <w:top w:val="nil"/>
              <w:left w:val="nil"/>
              <w:bottom w:val="single" w:sz="4" w:space="0" w:color="auto"/>
              <w:right w:val="single" w:sz="4" w:space="0" w:color="auto"/>
            </w:tcBorders>
            <w:shd w:val="clear" w:color="000000" w:fill="FFFFFF"/>
            <w:noWrap/>
            <w:vAlign w:val="bottom"/>
            <w:hideMark/>
          </w:tcPr>
          <w:p w14:paraId="6050A294" w14:textId="0C20C644" w:rsidR="00E37D91" w:rsidRPr="0050472E" w:rsidRDefault="0050472E" w:rsidP="00E37D91">
            <w:pPr>
              <w:keepNext/>
              <w:jc w:val="right"/>
              <w:rPr>
                <w:rFonts w:cs="Calibri"/>
                <w:b/>
                <w:sz w:val="22"/>
                <w:szCs w:val="22"/>
              </w:rPr>
            </w:pPr>
            <w:r w:rsidRPr="0050472E">
              <w:rPr>
                <w:rFonts w:cs="Calibri"/>
                <w:b/>
                <w:sz w:val="22"/>
                <w:szCs w:val="22"/>
              </w:rPr>
              <w:t>Average Weekday</w:t>
            </w:r>
            <w:r w:rsidR="002C1FA8">
              <w:rPr>
                <w:rFonts w:cs="Calibri"/>
                <w:b/>
                <w:sz w:val="22"/>
                <w:szCs w:val="22"/>
              </w:rPr>
              <w:t xml:space="preserve"> Event</w:t>
            </w:r>
          </w:p>
        </w:tc>
        <w:tc>
          <w:tcPr>
            <w:tcW w:w="990" w:type="dxa"/>
            <w:tcBorders>
              <w:top w:val="nil"/>
              <w:left w:val="nil"/>
              <w:bottom w:val="single" w:sz="4" w:space="0" w:color="auto"/>
              <w:right w:val="single" w:sz="4" w:space="0" w:color="auto"/>
            </w:tcBorders>
            <w:shd w:val="clear" w:color="000000" w:fill="FFFFFF"/>
            <w:noWrap/>
            <w:vAlign w:val="bottom"/>
            <w:hideMark/>
          </w:tcPr>
          <w:p w14:paraId="107A01AD" w14:textId="77777777" w:rsidR="00E37D91" w:rsidRPr="0050472E" w:rsidRDefault="00E37D91" w:rsidP="00E37D91">
            <w:pPr>
              <w:keepNext/>
              <w:jc w:val="center"/>
              <w:rPr>
                <w:rFonts w:cs="Calibri"/>
                <w:b/>
                <w:sz w:val="22"/>
                <w:szCs w:val="22"/>
              </w:rPr>
            </w:pPr>
            <w:r w:rsidRPr="0050472E">
              <w:rPr>
                <w:rFonts w:cs="Calibri"/>
                <w:b/>
                <w:sz w:val="22"/>
                <w:szCs w:val="22"/>
              </w:rPr>
              <w:t>342</w:t>
            </w:r>
          </w:p>
        </w:tc>
        <w:tc>
          <w:tcPr>
            <w:tcW w:w="1084" w:type="dxa"/>
            <w:tcBorders>
              <w:top w:val="nil"/>
              <w:left w:val="nil"/>
              <w:bottom w:val="single" w:sz="4" w:space="0" w:color="auto"/>
              <w:right w:val="single" w:sz="4" w:space="0" w:color="auto"/>
            </w:tcBorders>
            <w:shd w:val="clear" w:color="000000" w:fill="FFFFFF"/>
            <w:noWrap/>
            <w:vAlign w:val="bottom"/>
            <w:hideMark/>
          </w:tcPr>
          <w:p w14:paraId="339F11A1" w14:textId="77777777" w:rsidR="00E37D91" w:rsidRPr="0050472E" w:rsidRDefault="00E37D91" w:rsidP="00E37D91">
            <w:pPr>
              <w:keepNext/>
              <w:jc w:val="center"/>
              <w:rPr>
                <w:rFonts w:cs="Calibri"/>
                <w:b/>
                <w:sz w:val="22"/>
                <w:szCs w:val="22"/>
              </w:rPr>
            </w:pPr>
            <w:r w:rsidRPr="0050472E">
              <w:rPr>
                <w:rFonts w:cs="Calibri"/>
                <w:b/>
                <w:sz w:val="22"/>
                <w:szCs w:val="22"/>
              </w:rPr>
              <w:t>0.59</w:t>
            </w:r>
          </w:p>
        </w:tc>
        <w:tc>
          <w:tcPr>
            <w:tcW w:w="1076" w:type="dxa"/>
            <w:tcBorders>
              <w:top w:val="nil"/>
              <w:left w:val="nil"/>
              <w:bottom w:val="single" w:sz="4" w:space="0" w:color="auto"/>
              <w:right w:val="single" w:sz="4" w:space="0" w:color="auto"/>
            </w:tcBorders>
            <w:shd w:val="clear" w:color="000000" w:fill="FFFFFF"/>
            <w:noWrap/>
            <w:vAlign w:val="bottom"/>
            <w:hideMark/>
          </w:tcPr>
          <w:p w14:paraId="787427C6" w14:textId="77777777" w:rsidR="00E37D91" w:rsidRPr="0050472E" w:rsidRDefault="00E37D91" w:rsidP="00E37D91">
            <w:pPr>
              <w:keepNext/>
              <w:jc w:val="center"/>
              <w:rPr>
                <w:rFonts w:cs="Calibri"/>
                <w:b/>
                <w:sz w:val="22"/>
                <w:szCs w:val="22"/>
              </w:rPr>
            </w:pPr>
            <w:r w:rsidRPr="0050472E">
              <w:rPr>
                <w:rFonts w:cs="Calibri"/>
                <w:b/>
                <w:sz w:val="22"/>
                <w:szCs w:val="22"/>
              </w:rPr>
              <w:t>0.12</w:t>
            </w:r>
          </w:p>
        </w:tc>
        <w:tc>
          <w:tcPr>
            <w:tcW w:w="989" w:type="dxa"/>
            <w:tcBorders>
              <w:top w:val="nil"/>
              <w:left w:val="nil"/>
              <w:bottom w:val="single" w:sz="4" w:space="0" w:color="auto"/>
              <w:right w:val="single" w:sz="4" w:space="0" w:color="auto"/>
            </w:tcBorders>
            <w:shd w:val="clear" w:color="000000" w:fill="FFFFFF"/>
            <w:noWrap/>
            <w:vAlign w:val="bottom"/>
            <w:hideMark/>
          </w:tcPr>
          <w:p w14:paraId="1B26D26A" w14:textId="77777777" w:rsidR="00E37D91" w:rsidRPr="0050472E" w:rsidRDefault="00E37D91" w:rsidP="00E37D91">
            <w:pPr>
              <w:keepNext/>
              <w:jc w:val="center"/>
              <w:rPr>
                <w:rFonts w:cs="Calibri"/>
                <w:b/>
                <w:sz w:val="22"/>
                <w:szCs w:val="22"/>
              </w:rPr>
            </w:pPr>
            <w:r w:rsidRPr="0050472E">
              <w:rPr>
                <w:rFonts w:cs="Calibri"/>
                <w:b/>
                <w:sz w:val="22"/>
                <w:szCs w:val="22"/>
              </w:rPr>
              <w:t>1.73</w:t>
            </w:r>
          </w:p>
        </w:tc>
        <w:tc>
          <w:tcPr>
            <w:tcW w:w="989" w:type="dxa"/>
            <w:tcBorders>
              <w:top w:val="nil"/>
              <w:left w:val="nil"/>
              <w:bottom w:val="single" w:sz="4" w:space="0" w:color="auto"/>
              <w:right w:val="single" w:sz="4" w:space="0" w:color="auto"/>
            </w:tcBorders>
            <w:shd w:val="clear" w:color="000000" w:fill="FFFFFF"/>
            <w:noWrap/>
            <w:vAlign w:val="bottom"/>
            <w:hideMark/>
          </w:tcPr>
          <w:p w14:paraId="3B62ED2C" w14:textId="77777777" w:rsidR="00E37D91" w:rsidRPr="0050472E" w:rsidRDefault="00E37D91" w:rsidP="00E37D91">
            <w:pPr>
              <w:keepNext/>
              <w:jc w:val="center"/>
              <w:rPr>
                <w:rFonts w:cs="Calibri"/>
                <w:b/>
                <w:sz w:val="22"/>
                <w:szCs w:val="22"/>
              </w:rPr>
            </w:pPr>
            <w:r w:rsidRPr="0050472E">
              <w:rPr>
                <w:rFonts w:cs="Calibri"/>
                <w:b/>
                <w:sz w:val="22"/>
                <w:szCs w:val="22"/>
              </w:rPr>
              <w:t>0.35</w:t>
            </w:r>
          </w:p>
        </w:tc>
        <w:tc>
          <w:tcPr>
            <w:tcW w:w="925" w:type="dxa"/>
            <w:tcBorders>
              <w:top w:val="nil"/>
              <w:left w:val="nil"/>
              <w:bottom w:val="single" w:sz="4" w:space="0" w:color="auto"/>
              <w:right w:val="single" w:sz="4" w:space="0" w:color="auto"/>
            </w:tcBorders>
            <w:shd w:val="clear" w:color="000000" w:fill="FFFFFF"/>
            <w:noWrap/>
            <w:vAlign w:val="bottom"/>
            <w:hideMark/>
          </w:tcPr>
          <w:p w14:paraId="5D318175" w14:textId="77777777" w:rsidR="00E37D91" w:rsidRPr="0050472E" w:rsidRDefault="00E37D91" w:rsidP="00E37D91">
            <w:pPr>
              <w:keepNext/>
              <w:jc w:val="center"/>
              <w:rPr>
                <w:rFonts w:cs="Calibri"/>
                <w:b/>
                <w:sz w:val="22"/>
                <w:szCs w:val="22"/>
              </w:rPr>
            </w:pPr>
            <w:r w:rsidRPr="0050472E">
              <w:rPr>
                <w:rFonts w:cs="Calibri"/>
                <w:b/>
                <w:sz w:val="22"/>
                <w:szCs w:val="22"/>
              </w:rPr>
              <w:t>20.2%</w:t>
            </w:r>
          </w:p>
        </w:tc>
        <w:tc>
          <w:tcPr>
            <w:tcW w:w="877" w:type="dxa"/>
            <w:tcBorders>
              <w:top w:val="nil"/>
              <w:left w:val="nil"/>
              <w:bottom w:val="single" w:sz="4" w:space="0" w:color="auto"/>
              <w:right w:val="single" w:sz="4" w:space="0" w:color="auto"/>
            </w:tcBorders>
            <w:shd w:val="clear" w:color="000000" w:fill="FFFFFF"/>
            <w:noWrap/>
            <w:vAlign w:val="bottom"/>
            <w:hideMark/>
          </w:tcPr>
          <w:p w14:paraId="4F40427D" w14:textId="77777777" w:rsidR="00E37D91" w:rsidRPr="0050472E" w:rsidRDefault="00E37D91" w:rsidP="00E37D91">
            <w:pPr>
              <w:keepNext/>
              <w:jc w:val="center"/>
              <w:rPr>
                <w:rFonts w:cs="Calibri"/>
                <w:b/>
                <w:sz w:val="22"/>
                <w:szCs w:val="22"/>
              </w:rPr>
            </w:pPr>
            <w:r w:rsidRPr="0050472E">
              <w:rPr>
                <w:rFonts w:cs="Calibri"/>
                <w:b/>
                <w:sz w:val="22"/>
                <w:szCs w:val="22"/>
              </w:rPr>
              <w:t>93</w:t>
            </w:r>
          </w:p>
        </w:tc>
      </w:tr>
      <w:tr w:rsidR="00E37D91" w:rsidRPr="00E37D91" w14:paraId="1A952060" w14:textId="77777777" w:rsidTr="002C1FA8">
        <w:trPr>
          <w:trHeight w:val="300"/>
          <w:jc w:val="center"/>
        </w:trPr>
        <w:tc>
          <w:tcPr>
            <w:tcW w:w="905" w:type="dxa"/>
            <w:vMerge w:val="restart"/>
            <w:tcBorders>
              <w:top w:val="nil"/>
              <w:left w:val="single" w:sz="4" w:space="0" w:color="auto"/>
              <w:bottom w:val="single" w:sz="4" w:space="0" w:color="000000"/>
              <w:right w:val="single" w:sz="4" w:space="0" w:color="auto"/>
            </w:tcBorders>
            <w:shd w:val="clear" w:color="000000" w:fill="FFFFFF"/>
            <w:noWrap/>
            <w:vAlign w:val="center"/>
            <w:hideMark/>
          </w:tcPr>
          <w:p w14:paraId="103FA061" w14:textId="4B265A83" w:rsidR="00E37D91" w:rsidRPr="00E37D91" w:rsidRDefault="00E37D91" w:rsidP="00E37D91">
            <w:pPr>
              <w:keepNext/>
              <w:jc w:val="center"/>
              <w:rPr>
                <w:rFonts w:cs="Calibri"/>
                <w:sz w:val="22"/>
                <w:szCs w:val="22"/>
              </w:rPr>
            </w:pPr>
            <w:r w:rsidRPr="00E37D91">
              <w:rPr>
                <w:rFonts w:cs="Calibri"/>
                <w:sz w:val="22"/>
                <w:szCs w:val="22"/>
              </w:rPr>
              <w:t>CPP</w:t>
            </w:r>
            <w:r>
              <w:rPr>
                <w:rFonts w:cs="Calibri"/>
                <w:sz w:val="22"/>
                <w:szCs w:val="22"/>
              </w:rPr>
              <w:br/>
            </w:r>
            <w:r w:rsidRPr="00E37D91">
              <w:rPr>
                <w:rFonts w:cs="Calibri"/>
                <w:sz w:val="22"/>
                <w:szCs w:val="22"/>
              </w:rPr>
              <w:t>+</w:t>
            </w:r>
            <w:r>
              <w:rPr>
                <w:rFonts w:cs="Calibri"/>
                <w:sz w:val="22"/>
                <w:szCs w:val="22"/>
              </w:rPr>
              <w:br/>
            </w:r>
            <w:r w:rsidRPr="00E37D91">
              <w:rPr>
                <w:rFonts w:cs="Calibri"/>
                <w:sz w:val="22"/>
                <w:szCs w:val="22"/>
              </w:rPr>
              <w:t>SCTD</w:t>
            </w:r>
          </w:p>
        </w:tc>
        <w:tc>
          <w:tcPr>
            <w:tcW w:w="2525" w:type="dxa"/>
            <w:tcBorders>
              <w:top w:val="nil"/>
              <w:left w:val="nil"/>
              <w:bottom w:val="nil"/>
              <w:right w:val="single" w:sz="4" w:space="0" w:color="auto"/>
            </w:tcBorders>
            <w:shd w:val="clear" w:color="000000" w:fill="FFFFFF"/>
            <w:noWrap/>
            <w:vAlign w:val="bottom"/>
            <w:hideMark/>
          </w:tcPr>
          <w:p w14:paraId="73F860E8" w14:textId="77777777" w:rsidR="00E37D91" w:rsidRPr="00E37D91" w:rsidRDefault="00E37D91" w:rsidP="00E37D91">
            <w:pPr>
              <w:keepNext/>
              <w:jc w:val="right"/>
              <w:rPr>
                <w:rFonts w:cs="Calibri"/>
                <w:sz w:val="22"/>
                <w:szCs w:val="22"/>
              </w:rPr>
            </w:pPr>
            <w:r w:rsidRPr="00E37D91">
              <w:rPr>
                <w:rFonts w:cs="Calibri"/>
                <w:sz w:val="22"/>
                <w:szCs w:val="22"/>
              </w:rPr>
              <w:t>Aug 31, 2017</w:t>
            </w:r>
          </w:p>
        </w:tc>
        <w:tc>
          <w:tcPr>
            <w:tcW w:w="990" w:type="dxa"/>
            <w:tcBorders>
              <w:top w:val="nil"/>
              <w:left w:val="nil"/>
              <w:bottom w:val="nil"/>
              <w:right w:val="single" w:sz="4" w:space="0" w:color="auto"/>
            </w:tcBorders>
            <w:shd w:val="clear" w:color="000000" w:fill="FFFFFF"/>
            <w:noWrap/>
            <w:vAlign w:val="bottom"/>
            <w:hideMark/>
          </w:tcPr>
          <w:p w14:paraId="1AAAA2EA" w14:textId="77777777" w:rsidR="00E37D91" w:rsidRPr="00E37D91" w:rsidRDefault="00E37D91" w:rsidP="00E37D91">
            <w:pPr>
              <w:keepNext/>
              <w:jc w:val="center"/>
              <w:rPr>
                <w:rFonts w:cs="Calibri"/>
                <w:sz w:val="22"/>
                <w:szCs w:val="22"/>
              </w:rPr>
            </w:pPr>
            <w:r w:rsidRPr="00E37D91">
              <w:rPr>
                <w:rFonts w:cs="Calibri"/>
                <w:sz w:val="22"/>
                <w:szCs w:val="22"/>
              </w:rPr>
              <w:t>341</w:t>
            </w:r>
          </w:p>
        </w:tc>
        <w:tc>
          <w:tcPr>
            <w:tcW w:w="1084" w:type="dxa"/>
            <w:tcBorders>
              <w:top w:val="nil"/>
              <w:left w:val="nil"/>
              <w:bottom w:val="nil"/>
              <w:right w:val="single" w:sz="4" w:space="0" w:color="auto"/>
            </w:tcBorders>
            <w:shd w:val="clear" w:color="000000" w:fill="FFFFFF"/>
            <w:noWrap/>
            <w:vAlign w:val="bottom"/>
            <w:hideMark/>
          </w:tcPr>
          <w:p w14:paraId="1F389D96" w14:textId="77777777" w:rsidR="00E37D91" w:rsidRPr="00E37D91" w:rsidRDefault="00E37D91" w:rsidP="00E37D91">
            <w:pPr>
              <w:keepNext/>
              <w:jc w:val="center"/>
              <w:rPr>
                <w:rFonts w:cs="Calibri"/>
                <w:sz w:val="22"/>
                <w:szCs w:val="22"/>
              </w:rPr>
            </w:pPr>
            <w:r w:rsidRPr="00E37D91">
              <w:rPr>
                <w:rFonts w:cs="Calibri"/>
                <w:sz w:val="22"/>
                <w:szCs w:val="22"/>
              </w:rPr>
              <w:t>0.55</w:t>
            </w:r>
          </w:p>
        </w:tc>
        <w:tc>
          <w:tcPr>
            <w:tcW w:w="1076" w:type="dxa"/>
            <w:tcBorders>
              <w:top w:val="nil"/>
              <w:left w:val="nil"/>
              <w:bottom w:val="nil"/>
              <w:right w:val="single" w:sz="4" w:space="0" w:color="auto"/>
            </w:tcBorders>
            <w:shd w:val="clear" w:color="000000" w:fill="FFFFFF"/>
            <w:noWrap/>
            <w:vAlign w:val="bottom"/>
            <w:hideMark/>
          </w:tcPr>
          <w:p w14:paraId="5A024E45" w14:textId="77777777" w:rsidR="00E37D91" w:rsidRPr="00E37D91" w:rsidRDefault="00E37D91" w:rsidP="00E37D91">
            <w:pPr>
              <w:keepNext/>
              <w:jc w:val="center"/>
              <w:rPr>
                <w:rFonts w:cs="Calibri"/>
                <w:sz w:val="22"/>
                <w:szCs w:val="22"/>
              </w:rPr>
            </w:pPr>
            <w:r w:rsidRPr="00E37D91">
              <w:rPr>
                <w:rFonts w:cs="Calibri"/>
                <w:sz w:val="22"/>
                <w:szCs w:val="22"/>
              </w:rPr>
              <w:t>0.18</w:t>
            </w:r>
          </w:p>
        </w:tc>
        <w:tc>
          <w:tcPr>
            <w:tcW w:w="989" w:type="dxa"/>
            <w:tcBorders>
              <w:top w:val="nil"/>
              <w:left w:val="nil"/>
              <w:bottom w:val="nil"/>
              <w:right w:val="single" w:sz="4" w:space="0" w:color="auto"/>
            </w:tcBorders>
            <w:shd w:val="clear" w:color="000000" w:fill="FFFFFF"/>
            <w:noWrap/>
            <w:vAlign w:val="bottom"/>
            <w:hideMark/>
          </w:tcPr>
          <w:p w14:paraId="2581918C" w14:textId="77777777" w:rsidR="00E37D91" w:rsidRPr="00E37D91" w:rsidRDefault="00E37D91" w:rsidP="00E37D91">
            <w:pPr>
              <w:keepNext/>
              <w:jc w:val="center"/>
              <w:rPr>
                <w:rFonts w:cs="Calibri"/>
                <w:sz w:val="22"/>
                <w:szCs w:val="22"/>
              </w:rPr>
            </w:pPr>
            <w:r w:rsidRPr="00E37D91">
              <w:rPr>
                <w:rFonts w:cs="Calibri"/>
                <w:sz w:val="22"/>
                <w:szCs w:val="22"/>
              </w:rPr>
              <w:t>1.61</w:t>
            </w:r>
          </w:p>
        </w:tc>
        <w:tc>
          <w:tcPr>
            <w:tcW w:w="989" w:type="dxa"/>
            <w:tcBorders>
              <w:top w:val="nil"/>
              <w:left w:val="nil"/>
              <w:bottom w:val="nil"/>
              <w:right w:val="single" w:sz="4" w:space="0" w:color="auto"/>
            </w:tcBorders>
            <w:shd w:val="clear" w:color="000000" w:fill="FFFFFF"/>
            <w:noWrap/>
            <w:vAlign w:val="bottom"/>
            <w:hideMark/>
          </w:tcPr>
          <w:p w14:paraId="76B97196" w14:textId="77777777" w:rsidR="00E37D91" w:rsidRPr="00E37D91" w:rsidRDefault="00E37D91" w:rsidP="00E37D91">
            <w:pPr>
              <w:keepNext/>
              <w:jc w:val="center"/>
              <w:rPr>
                <w:rFonts w:cs="Calibri"/>
                <w:sz w:val="22"/>
                <w:szCs w:val="22"/>
              </w:rPr>
            </w:pPr>
            <w:r w:rsidRPr="00E37D91">
              <w:rPr>
                <w:rFonts w:cs="Calibri"/>
                <w:sz w:val="22"/>
                <w:szCs w:val="22"/>
              </w:rPr>
              <w:t>0.54</w:t>
            </w:r>
          </w:p>
        </w:tc>
        <w:tc>
          <w:tcPr>
            <w:tcW w:w="925" w:type="dxa"/>
            <w:tcBorders>
              <w:top w:val="nil"/>
              <w:left w:val="nil"/>
              <w:bottom w:val="nil"/>
              <w:right w:val="single" w:sz="4" w:space="0" w:color="auto"/>
            </w:tcBorders>
            <w:shd w:val="clear" w:color="000000" w:fill="FFFFFF"/>
            <w:noWrap/>
            <w:vAlign w:val="bottom"/>
            <w:hideMark/>
          </w:tcPr>
          <w:p w14:paraId="43477D81" w14:textId="77777777" w:rsidR="00E37D91" w:rsidRPr="00E37D91" w:rsidRDefault="00E37D91" w:rsidP="00E37D91">
            <w:pPr>
              <w:keepNext/>
              <w:jc w:val="center"/>
              <w:rPr>
                <w:rFonts w:cs="Calibri"/>
                <w:sz w:val="22"/>
                <w:szCs w:val="22"/>
              </w:rPr>
            </w:pPr>
            <w:r w:rsidRPr="00E37D91">
              <w:rPr>
                <w:rFonts w:cs="Calibri"/>
                <w:sz w:val="22"/>
                <w:szCs w:val="22"/>
              </w:rPr>
              <w:t>33.3%</w:t>
            </w:r>
          </w:p>
        </w:tc>
        <w:tc>
          <w:tcPr>
            <w:tcW w:w="877" w:type="dxa"/>
            <w:tcBorders>
              <w:top w:val="nil"/>
              <w:left w:val="nil"/>
              <w:bottom w:val="nil"/>
              <w:right w:val="single" w:sz="4" w:space="0" w:color="auto"/>
            </w:tcBorders>
            <w:shd w:val="clear" w:color="000000" w:fill="FFFFFF"/>
            <w:noWrap/>
            <w:vAlign w:val="bottom"/>
            <w:hideMark/>
          </w:tcPr>
          <w:p w14:paraId="28A69B00" w14:textId="77777777" w:rsidR="00E37D91" w:rsidRPr="00E37D91" w:rsidRDefault="00E37D91" w:rsidP="00E37D91">
            <w:pPr>
              <w:keepNext/>
              <w:jc w:val="center"/>
              <w:rPr>
                <w:rFonts w:cs="Calibri"/>
                <w:sz w:val="22"/>
                <w:szCs w:val="22"/>
              </w:rPr>
            </w:pPr>
            <w:r w:rsidRPr="00E37D91">
              <w:rPr>
                <w:rFonts w:cs="Calibri"/>
                <w:sz w:val="22"/>
                <w:szCs w:val="22"/>
              </w:rPr>
              <w:t>90</w:t>
            </w:r>
          </w:p>
        </w:tc>
      </w:tr>
      <w:tr w:rsidR="00E37D91" w:rsidRPr="00E37D91" w14:paraId="7C92D666" w14:textId="77777777" w:rsidTr="002C1FA8">
        <w:trPr>
          <w:trHeight w:val="300"/>
          <w:jc w:val="center"/>
        </w:trPr>
        <w:tc>
          <w:tcPr>
            <w:tcW w:w="905" w:type="dxa"/>
            <w:vMerge/>
            <w:tcBorders>
              <w:top w:val="nil"/>
              <w:left w:val="single" w:sz="4" w:space="0" w:color="auto"/>
              <w:bottom w:val="single" w:sz="4" w:space="0" w:color="000000"/>
              <w:right w:val="single" w:sz="4" w:space="0" w:color="auto"/>
            </w:tcBorders>
            <w:vAlign w:val="center"/>
            <w:hideMark/>
          </w:tcPr>
          <w:p w14:paraId="6607C064" w14:textId="77777777" w:rsidR="00E37D91" w:rsidRPr="00E37D91" w:rsidRDefault="00E37D91" w:rsidP="00E37D91">
            <w:pPr>
              <w:keepNext/>
              <w:rPr>
                <w:rFonts w:cs="Calibri"/>
                <w:sz w:val="22"/>
                <w:szCs w:val="22"/>
              </w:rPr>
            </w:pPr>
          </w:p>
        </w:tc>
        <w:tc>
          <w:tcPr>
            <w:tcW w:w="2525" w:type="dxa"/>
            <w:tcBorders>
              <w:top w:val="nil"/>
              <w:left w:val="nil"/>
              <w:bottom w:val="nil"/>
              <w:right w:val="single" w:sz="4" w:space="0" w:color="auto"/>
            </w:tcBorders>
            <w:shd w:val="clear" w:color="000000" w:fill="FFFFFF"/>
            <w:noWrap/>
            <w:vAlign w:val="bottom"/>
            <w:hideMark/>
          </w:tcPr>
          <w:p w14:paraId="526C9B09" w14:textId="40F62465" w:rsidR="00E37D91" w:rsidRPr="00E37D91" w:rsidRDefault="009B006F" w:rsidP="00E37D91">
            <w:pPr>
              <w:keepNext/>
              <w:jc w:val="right"/>
              <w:rPr>
                <w:rFonts w:cs="Calibri"/>
                <w:sz w:val="22"/>
                <w:szCs w:val="22"/>
              </w:rPr>
            </w:pPr>
            <w:r>
              <w:rPr>
                <w:rFonts w:cs="Calibri"/>
                <w:sz w:val="22"/>
                <w:szCs w:val="22"/>
              </w:rPr>
              <w:t>Sep</w:t>
            </w:r>
            <w:r w:rsidR="00E37D91" w:rsidRPr="00E37D91">
              <w:rPr>
                <w:rFonts w:cs="Calibri"/>
                <w:sz w:val="22"/>
                <w:szCs w:val="22"/>
              </w:rPr>
              <w:t xml:space="preserve"> 1, 2017</w:t>
            </w:r>
          </w:p>
        </w:tc>
        <w:tc>
          <w:tcPr>
            <w:tcW w:w="990" w:type="dxa"/>
            <w:tcBorders>
              <w:top w:val="nil"/>
              <w:left w:val="nil"/>
              <w:bottom w:val="nil"/>
              <w:right w:val="single" w:sz="4" w:space="0" w:color="auto"/>
            </w:tcBorders>
            <w:shd w:val="clear" w:color="000000" w:fill="FFFFFF"/>
            <w:noWrap/>
            <w:vAlign w:val="bottom"/>
            <w:hideMark/>
          </w:tcPr>
          <w:p w14:paraId="2B8498E3" w14:textId="77777777" w:rsidR="00E37D91" w:rsidRPr="00E37D91" w:rsidRDefault="00E37D91" w:rsidP="00E37D91">
            <w:pPr>
              <w:keepNext/>
              <w:jc w:val="center"/>
              <w:rPr>
                <w:rFonts w:cs="Calibri"/>
                <w:sz w:val="22"/>
                <w:szCs w:val="22"/>
              </w:rPr>
            </w:pPr>
            <w:r w:rsidRPr="00E37D91">
              <w:rPr>
                <w:rFonts w:cs="Calibri"/>
                <w:sz w:val="22"/>
                <w:szCs w:val="22"/>
              </w:rPr>
              <w:t>342</w:t>
            </w:r>
          </w:p>
        </w:tc>
        <w:tc>
          <w:tcPr>
            <w:tcW w:w="1084" w:type="dxa"/>
            <w:tcBorders>
              <w:top w:val="nil"/>
              <w:left w:val="nil"/>
              <w:bottom w:val="nil"/>
              <w:right w:val="single" w:sz="4" w:space="0" w:color="auto"/>
            </w:tcBorders>
            <w:shd w:val="clear" w:color="000000" w:fill="FFFFFF"/>
            <w:noWrap/>
            <w:vAlign w:val="bottom"/>
            <w:hideMark/>
          </w:tcPr>
          <w:p w14:paraId="18EA1688" w14:textId="77777777" w:rsidR="00E37D91" w:rsidRPr="00E37D91" w:rsidRDefault="00E37D91" w:rsidP="00E37D91">
            <w:pPr>
              <w:keepNext/>
              <w:jc w:val="center"/>
              <w:rPr>
                <w:rFonts w:cs="Calibri"/>
                <w:sz w:val="22"/>
                <w:szCs w:val="22"/>
              </w:rPr>
            </w:pPr>
            <w:r w:rsidRPr="00E37D91">
              <w:rPr>
                <w:rFonts w:cs="Calibri"/>
                <w:sz w:val="22"/>
                <w:szCs w:val="22"/>
              </w:rPr>
              <w:t>0.63</w:t>
            </w:r>
          </w:p>
        </w:tc>
        <w:tc>
          <w:tcPr>
            <w:tcW w:w="1076" w:type="dxa"/>
            <w:tcBorders>
              <w:top w:val="nil"/>
              <w:left w:val="nil"/>
              <w:bottom w:val="nil"/>
              <w:right w:val="single" w:sz="4" w:space="0" w:color="auto"/>
            </w:tcBorders>
            <w:shd w:val="clear" w:color="000000" w:fill="FFFFFF"/>
            <w:noWrap/>
            <w:vAlign w:val="bottom"/>
            <w:hideMark/>
          </w:tcPr>
          <w:p w14:paraId="676F1F9E" w14:textId="77777777" w:rsidR="00E37D91" w:rsidRPr="00E37D91" w:rsidRDefault="00E37D91" w:rsidP="00E37D91">
            <w:pPr>
              <w:keepNext/>
              <w:jc w:val="center"/>
              <w:rPr>
                <w:rFonts w:cs="Calibri"/>
                <w:sz w:val="22"/>
                <w:szCs w:val="22"/>
              </w:rPr>
            </w:pPr>
            <w:r w:rsidRPr="00E37D91">
              <w:rPr>
                <w:rFonts w:cs="Calibri"/>
                <w:sz w:val="22"/>
                <w:szCs w:val="22"/>
              </w:rPr>
              <w:t>0.20</w:t>
            </w:r>
          </w:p>
        </w:tc>
        <w:tc>
          <w:tcPr>
            <w:tcW w:w="989" w:type="dxa"/>
            <w:tcBorders>
              <w:top w:val="nil"/>
              <w:left w:val="nil"/>
              <w:bottom w:val="nil"/>
              <w:right w:val="single" w:sz="4" w:space="0" w:color="auto"/>
            </w:tcBorders>
            <w:shd w:val="clear" w:color="000000" w:fill="FFFFFF"/>
            <w:noWrap/>
            <w:vAlign w:val="bottom"/>
            <w:hideMark/>
          </w:tcPr>
          <w:p w14:paraId="2D1CE3CA" w14:textId="77777777" w:rsidR="00E37D91" w:rsidRPr="00E37D91" w:rsidRDefault="00E37D91" w:rsidP="00E37D91">
            <w:pPr>
              <w:keepNext/>
              <w:jc w:val="center"/>
              <w:rPr>
                <w:rFonts w:cs="Calibri"/>
                <w:sz w:val="22"/>
                <w:szCs w:val="22"/>
              </w:rPr>
            </w:pPr>
            <w:r w:rsidRPr="00E37D91">
              <w:rPr>
                <w:rFonts w:cs="Calibri"/>
                <w:sz w:val="22"/>
                <w:szCs w:val="22"/>
              </w:rPr>
              <w:t>1.85</w:t>
            </w:r>
          </w:p>
        </w:tc>
        <w:tc>
          <w:tcPr>
            <w:tcW w:w="989" w:type="dxa"/>
            <w:tcBorders>
              <w:top w:val="nil"/>
              <w:left w:val="nil"/>
              <w:bottom w:val="nil"/>
              <w:right w:val="single" w:sz="4" w:space="0" w:color="auto"/>
            </w:tcBorders>
            <w:shd w:val="clear" w:color="000000" w:fill="FFFFFF"/>
            <w:noWrap/>
            <w:vAlign w:val="bottom"/>
            <w:hideMark/>
          </w:tcPr>
          <w:p w14:paraId="485B8BBB" w14:textId="77777777" w:rsidR="00E37D91" w:rsidRPr="00E37D91" w:rsidRDefault="00E37D91" w:rsidP="00E37D91">
            <w:pPr>
              <w:keepNext/>
              <w:jc w:val="center"/>
              <w:rPr>
                <w:rFonts w:cs="Calibri"/>
                <w:sz w:val="22"/>
                <w:szCs w:val="22"/>
              </w:rPr>
            </w:pPr>
            <w:r w:rsidRPr="00E37D91">
              <w:rPr>
                <w:rFonts w:cs="Calibri"/>
                <w:sz w:val="22"/>
                <w:szCs w:val="22"/>
              </w:rPr>
              <w:t>0.57</w:t>
            </w:r>
          </w:p>
        </w:tc>
        <w:tc>
          <w:tcPr>
            <w:tcW w:w="925" w:type="dxa"/>
            <w:tcBorders>
              <w:top w:val="nil"/>
              <w:left w:val="nil"/>
              <w:bottom w:val="nil"/>
              <w:right w:val="single" w:sz="4" w:space="0" w:color="auto"/>
            </w:tcBorders>
            <w:shd w:val="clear" w:color="000000" w:fill="FFFFFF"/>
            <w:noWrap/>
            <w:vAlign w:val="bottom"/>
            <w:hideMark/>
          </w:tcPr>
          <w:p w14:paraId="7B0C6C7B" w14:textId="77777777" w:rsidR="00E37D91" w:rsidRPr="00E37D91" w:rsidRDefault="00E37D91" w:rsidP="00E37D91">
            <w:pPr>
              <w:keepNext/>
              <w:jc w:val="center"/>
              <w:rPr>
                <w:rFonts w:cs="Calibri"/>
                <w:sz w:val="22"/>
                <w:szCs w:val="22"/>
              </w:rPr>
            </w:pPr>
            <w:r w:rsidRPr="00E37D91">
              <w:rPr>
                <w:rFonts w:cs="Calibri"/>
                <w:sz w:val="22"/>
                <w:szCs w:val="22"/>
              </w:rPr>
              <w:t>30.9%</w:t>
            </w:r>
          </w:p>
        </w:tc>
        <w:tc>
          <w:tcPr>
            <w:tcW w:w="877" w:type="dxa"/>
            <w:tcBorders>
              <w:top w:val="nil"/>
              <w:left w:val="nil"/>
              <w:bottom w:val="nil"/>
              <w:right w:val="single" w:sz="4" w:space="0" w:color="auto"/>
            </w:tcBorders>
            <w:shd w:val="clear" w:color="000000" w:fill="FFFFFF"/>
            <w:noWrap/>
            <w:vAlign w:val="bottom"/>
            <w:hideMark/>
          </w:tcPr>
          <w:p w14:paraId="26AAABF0" w14:textId="77777777" w:rsidR="00E37D91" w:rsidRPr="00E37D91" w:rsidRDefault="00E37D91" w:rsidP="00E37D91">
            <w:pPr>
              <w:keepNext/>
              <w:jc w:val="center"/>
              <w:rPr>
                <w:rFonts w:cs="Calibri"/>
                <w:sz w:val="22"/>
                <w:szCs w:val="22"/>
              </w:rPr>
            </w:pPr>
            <w:r w:rsidRPr="00E37D91">
              <w:rPr>
                <w:rFonts w:cs="Calibri"/>
                <w:sz w:val="22"/>
                <w:szCs w:val="22"/>
              </w:rPr>
              <w:t>96</w:t>
            </w:r>
          </w:p>
        </w:tc>
      </w:tr>
      <w:tr w:rsidR="00E37D91" w:rsidRPr="00E37D91" w14:paraId="154D7A9D" w14:textId="77777777" w:rsidTr="002C1FA8">
        <w:trPr>
          <w:trHeight w:val="300"/>
          <w:jc w:val="center"/>
        </w:trPr>
        <w:tc>
          <w:tcPr>
            <w:tcW w:w="905" w:type="dxa"/>
            <w:vMerge/>
            <w:tcBorders>
              <w:top w:val="nil"/>
              <w:left w:val="single" w:sz="4" w:space="0" w:color="auto"/>
              <w:bottom w:val="single" w:sz="4" w:space="0" w:color="000000"/>
              <w:right w:val="single" w:sz="4" w:space="0" w:color="auto"/>
            </w:tcBorders>
            <w:vAlign w:val="center"/>
            <w:hideMark/>
          </w:tcPr>
          <w:p w14:paraId="2837FA72" w14:textId="77777777" w:rsidR="00E37D91" w:rsidRPr="00E37D91" w:rsidRDefault="00E37D91" w:rsidP="00E37D91">
            <w:pPr>
              <w:keepNext/>
              <w:rPr>
                <w:rFonts w:cs="Calibri"/>
                <w:sz w:val="22"/>
                <w:szCs w:val="22"/>
              </w:rPr>
            </w:pPr>
          </w:p>
        </w:tc>
        <w:tc>
          <w:tcPr>
            <w:tcW w:w="2525" w:type="dxa"/>
            <w:tcBorders>
              <w:top w:val="nil"/>
              <w:left w:val="nil"/>
              <w:bottom w:val="nil"/>
              <w:right w:val="single" w:sz="4" w:space="0" w:color="auto"/>
            </w:tcBorders>
            <w:shd w:val="clear" w:color="000000" w:fill="FFFFFF"/>
            <w:noWrap/>
            <w:vAlign w:val="bottom"/>
            <w:hideMark/>
          </w:tcPr>
          <w:p w14:paraId="068FB6C4" w14:textId="28274F21" w:rsidR="00E37D91" w:rsidRPr="00E37D91" w:rsidRDefault="009B006F" w:rsidP="00E37D91">
            <w:pPr>
              <w:keepNext/>
              <w:jc w:val="right"/>
              <w:rPr>
                <w:rFonts w:cs="Calibri"/>
                <w:sz w:val="22"/>
                <w:szCs w:val="22"/>
              </w:rPr>
            </w:pPr>
            <w:r>
              <w:rPr>
                <w:rFonts w:cs="Calibri"/>
                <w:sz w:val="22"/>
                <w:szCs w:val="22"/>
              </w:rPr>
              <w:t>Sep</w:t>
            </w:r>
            <w:r w:rsidR="00E37D91" w:rsidRPr="00E37D91">
              <w:rPr>
                <w:rFonts w:cs="Calibri"/>
                <w:sz w:val="22"/>
                <w:szCs w:val="22"/>
              </w:rPr>
              <w:t xml:space="preserve"> 2, 2017</w:t>
            </w:r>
          </w:p>
        </w:tc>
        <w:tc>
          <w:tcPr>
            <w:tcW w:w="990" w:type="dxa"/>
            <w:tcBorders>
              <w:top w:val="nil"/>
              <w:left w:val="nil"/>
              <w:bottom w:val="nil"/>
              <w:right w:val="single" w:sz="4" w:space="0" w:color="auto"/>
            </w:tcBorders>
            <w:shd w:val="clear" w:color="000000" w:fill="FFFFFF"/>
            <w:noWrap/>
            <w:vAlign w:val="bottom"/>
            <w:hideMark/>
          </w:tcPr>
          <w:p w14:paraId="52633E64" w14:textId="77777777" w:rsidR="00E37D91" w:rsidRPr="00E37D91" w:rsidRDefault="00E37D91" w:rsidP="00E37D91">
            <w:pPr>
              <w:keepNext/>
              <w:jc w:val="center"/>
              <w:rPr>
                <w:rFonts w:cs="Calibri"/>
                <w:sz w:val="22"/>
                <w:szCs w:val="22"/>
              </w:rPr>
            </w:pPr>
            <w:r w:rsidRPr="00E37D91">
              <w:rPr>
                <w:rFonts w:cs="Calibri"/>
                <w:sz w:val="22"/>
                <w:szCs w:val="22"/>
              </w:rPr>
              <w:t>342</w:t>
            </w:r>
          </w:p>
        </w:tc>
        <w:tc>
          <w:tcPr>
            <w:tcW w:w="1084" w:type="dxa"/>
            <w:tcBorders>
              <w:top w:val="nil"/>
              <w:left w:val="nil"/>
              <w:bottom w:val="nil"/>
              <w:right w:val="single" w:sz="4" w:space="0" w:color="auto"/>
            </w:tcBorders>
            <w:shd w:val="clear" w:color="000000" w:fill="FFFFFF"/>
            <w:noWrap/>
            <w:vAlign w:val="bottom"/>
            <w:hideMark/>
          </w:tcPr>
          <w:p w14:paraId="445D5D37" w14:textId="77777777" w:rsidR="00E37D91" w:rsidRPr="00E37D91" w:rsidRDefault="00E37D91" w:rsidP="00E37D91">
            <w:pPr>
              <w:keepNext/>
              <w:jc w:val="center"/>
              <w:rPr>
                <w:rFonts w:cs="Calibri"/>
                <w:sz w:val="22"/>
                <w:szCs w:val="22"/>
              </w:rPr>
            </w:pPr>
            <w:r w:rsidRPr="00E37D91">
              <w:rPr>
                <w:rFonts w:cs="Calibri"/>
                <w:sz w:val="22"/>
                <w:szCs w:val="22"/>
              </w:rPr>
              <w:t>0.69</w:t>
            </w:r>
          </w:p>
        </w:tc>
        <w:tc>
          <w:tcPr>
            <w:tcW w:w="1076" w:type="dxa"/>
            <w:tcBorders>
              <w:top w:val="nil"/>
              <w:left w:val="nil"/>
              <w:bottom w:val="nil"/>
              <w:right w:val="single" w:sz="4" w:space="0" w:color="auto"/>
            </w:tcBorders>
            <w:shd w:val="clear" w:color="000000" w:fill="FFFFFF"/>
            <w:noWrap/>
            <w:vAlign w:val="bottom"/>
            <w:hideMark/>
          </w:tcPr>
          <w:p w14:paraId="4CCDED7B" w14:textId="77777777" w:rsidR="00E37D91" w:rsidRPr="00E37D91" w:rsidRDefault="00E37D91" w:rsidP="00E37D91">
            <w:pPr>
              <w:keepNext/>
              <w:jc w:val="center"/>
              <w:rPr>
                <w:rFonts w:cs="Calibri"/>
                <w:sz w:val="22"/>
                <w:szCs w:val="22"/>
              </w:rPr>
            </w:pPr>
            <w:r w:rsidRPr="00E37D91">
              <w:rPr>
                <w:rFonts w:cs="Calibri"/>
                <w:sz w:val="22"/>
                <w:szCs w:val="22"/>
              </w:rPr>
              <w:t>0.08</w:t>
            </w:r>
          </w:p>
        </w:tc>
        <w:tc>
          <w:tcPr>
            <w:tcW w:w="989" w:type="dxa"/>
            <w:tcBorders>
              <w:top w:val="nil"/>
              <w:left w:val="nil"/>
              <w:bottom w:val="nil"/>
              <w:right w:val="single" w:sz="4" w:space="0" w:color="auto"/>
            </w:tcBorders>
            <w:shd w:val="clear" w:color="000000" w:fill="FFFFFF"/>
            <w:noWrap/>
            <w:vAlign w:val="bottom"/>
            <w:hideMark/>
          </w:tcPr>
          <w:p w14:paraId="131C741C" w14:textId="77777777" w:rsidR="00E37D91" w:rsidRPr="00E37D91" w:rsidRDefault="00E37D91" w:rsidP="00E37D91">
            <w:pPr>
              <w:keepNext/>
              <w:jc w:val="center"/>
              <w:rPr>
                <w:rFonts w:cs="Calibri"/>
                <w:sz w:val="22"/>
                <w:szCs w:val="22"/>
              </w:rPr>
            </w:pPr>
            <w:r w:rsidRPr="00E37D91">
              <w:rPr>
                <w:rFonts w:cs="Calibri"/>
                <w:sz w:val="22"/>
                <w:szCs w:val="22"/>
              </w:rPr>
              <w:t>2.01</w:t>
            </w:r>
          </w:p>
        </w:tc>
        <w:tc>
          <w:tcPr>
            <w:tcW w:w="989" w:type="dxa"/>
            <w:tcBorders>
              <w:top w:val="nil"/>
              <w:left w:val="nil"/>
              <w:bottom w:val="nil"/>
              <w:right w:val="single" w:sz="4" w:space="0" w:color="auto"/>
            </w:tcBorders>
            <w:shd w:val="clear" w:color="000000" w:fill="FFFFFF"/>
            <w:noWrap/>
            <w:vAlign w:val="bottom"/>
            <w:hideMark/>
          </w:tcPr>
          <w:p w14:paraId="459F0347" w14:textId="77777777" w:rsidR="00E37D91" w:rsidRPr="00E37D91" w:rsidRDefault="00E37D91" w:rsidP="00E37D91">
            <w:pPr>
              <w:keepNext/>
              <w:jc w:val="center"/>
              <w:rPr>
                <w:rFonts w:cs="Calibri"/>
                <w:sz w:val="22"/>
                <w:szCs w:val="22"/>
              </w:rPr>
            </w:pPr>
            <w:r w:rsidRPr="00E37D91">
              <w:rPr>
                <w:rFonts w:cs="Calibri"/>
                <w:sz w:val="22"/>
                <w:szCs w:val="22"/>
              </w:rPr>
              <w:t>0.24</w:t>
            </w:r>
          </w:p>
        </w:tc>
        <w:tc>
          <w:tcPr>
            <w:tcW w:w="925" w:type="dxa"/>
            <w:tcBorders>
              <w:top w:val="nil"/>
              <w:left w:val="nil"/>
              <w:bottom w:val="nil"/>
              <w:right w:val="single" w:sz="4" w:space="0" w:color="auto"/>
            </w:tcBorders>
            <w:shd w:val="clear" w:color="000000" w:fill="FFFFFF"/>
            <w:noWrap/>
            <w:vAlign w:val="bottom"/>
            <w:hideMark/>
          </w:tcPr>
          <w:p w14:paraId="004DA1F9" w14:textId="77777777" w:rsidR="00E37D91" w:rsidRPr="00E37D91" w:rsidRDefault="00E37D91" w:rsidP="00E37D91">
            <w:pPr>
              <w:keepNext/>
              <w:jc w:val="center"/>
              <w:rPr>
                <w:rFonts w:cs="Calibri"/>
                <w:sz w:val="22"/>
                <w:szCs w:val="22"/>
              </w:rPr>
            </w:pPr>
            <w:r w:rsidRPr="00E37D91">
              <w:rPr>
                <w:rFonts w:cs="Calibri"/>
                <w:sz w:val="22"/>
                <w:szCs w:val="22"/>
              </w:rPr>
              <w:t>12.1%</w:t>
            </w:r>
          </w:p>
        </w:tc>
        <w:tc>
          <w:tcPr>
            <w:tcW w:w="877" w:type="dxa"/>
            <w:tcBorders>
              <w:top w:val="nil"/>
              <w:left w:val="nil"/>
              <w:bottom w:val="nil"/>
              <w:right w:val="single" w:sz="4" w:space="0" w:color="auto"/>
            </w:tcBorders>
            <w:shd w:val="clear" w:color="000000" w:fill="FFFFFF"/>
            <w:noWrap/>
            <w:vAlign w:val="bottom"/>
            <w:hideMark/>
          </w:tcPr>
          <w:p w14:paraId="3D4B8581" w14:textId="77777777" w:rsidR="00E37D91" w:rsidRPr="00E37D91" w:rsidRDefault="00E37D91" w:rsidP="00E37D91">
            <w:pPr>
              <w:keepNext/>
              <w:jc w:val="center"/>
              <w:rPr>
                <w:rFonts w:cs="Calibri"/>
                <w:sz w:val="22"/>
                <w:szCs w:val="22"/>
              </w:rPr>
            </w:pPr>
            <w:r w:rsidRPr="00E37D91">
              <w:rPr>
                <w:rFonts w:cs="Calibri"/>
                <w:sz w:val="22"/>
                <w:szCs w:val="22"/>
              </w:rPr>
              <w:t>96</w:t>
            </w:r>
          </w:p>
        </w:tc>
      </w:tr>
      <w:tr w:rsidR="00E37D91" w:rsidRPr="00E37D91" w14:paraId="23BA3E87" w14:textId="77777777" w:rsidTr="002C1FA8">
        <w:trPr>
          <w:trHeight w:val="300"/>
          <w:jc w:val="center"/>
        </w:trPr>
        <w:tc>
          <w:tcPr>
            <w:tcW w:w="905" w:type="dxa"/>
            <w:vMerge/>
            <w:tcBorders>
              <w:top w:val="nil"/>
              <w:left w:val="single" w:sz="4" w:space="0" w:color="auto"/>
              <w:bottom w:val="single" w:sz="4" w:space="0" w:color="000000"/>
              <w:right w:val="single" w:sz="4" w:space="0" w:color="auto"/>
            </w:tcBorders>
            <w:vAlign w:val="center"/>
            <w:hideMark/>
          </w:tcPr>
          <w:p w14:paraId="5865853E" w14:textId="77777777" w:rsidR="00E37D91" w:rsidRPr="00E37D91" w:rsidRDefault="00E37D91" w:rsidP="00E37D91">
            <w:pPr>
              <w:keepNext/>
              <w:rPr>
                <w:rFonts w:cs="Calibri"/>
                <w:sz w:val="22"/>
                <w:szCs w:val="22"/>
              </w:rPr>
            </w:pPr>
          </w:p>
        </w:tc>
        <w:tc>
          <w:tcPr>
            <w:tcW w:w="2525" w:type="dxa"/>
            <w:tcBorders>
              <w:top w:val="nil"/>
              <w:left w:val="nil"/>
              <w:bottom w:val="single" w:sz="4" w:space="0" w:color="auto"/>
              <w:right w:val="single" w:sz="4" w:space="0" w:color="auto"/>
            </w:tcBorders>
            <w:shd w:val="clear" w:color="000000" w:fill="FFFFFF"/>
            <w:noWrap/>
            <w:vAlign w:val="bottom"/>
            <w:hideMark/>
          </w:tcPr>
          <w:p w14:paraId="49B57BCE" w14:textId="24B00A1F" w:rsidR="00E37D91" w:rsidRPr="0050472E" w:rsidRDefault="0050472E" w:rsidP="00E37D91">
            <w:pPr>
              <w:keepNext/>
              <w:jc w:val="right"/>
              <w:rPr>
                <w:rFonts w:cs="Calibri"/>
                <w:b/>
                <w:sz w:val="22"/>
                <w:szCs w:val="22"/>
              </w:rPr>
            </w:pPr>
            <w:r w:rsidRPr="0050472E">
              <w:rPr>
                <w:rFonts w:cs="Calibri"/>
                <w:b/>
                <w:sz w:val="22"/>
                <w:szCs w:val="22"/>
              </w:rPr>
              <w:t>Average Weekday</w:t>
            </w:r>
            <w:r w:rsidR="002C1FA8">
              <w:rPr>
                <w:rFonts w:cs="Calibri"/>
                <w:b/>
                <w:sz w:val="22"/>
                <w:szCs w:val="22"/>
              </w:rPr>
              <w:t xml:space="preserve"> </w:t>
            </w:r>
            <w:r w:rsidR="002C1FA8">
              <w:rPr>
                <w:rFonts w:cs="Calibri"/>
                <w:b/>
                <w:sz w:val="22"/>
                <w:szCs w:val="22"/>
              </w:rPr>
              <w:t>Event</w:t>
            </w:r>
          </w:p>
        </w:tc>
        <w:tc>
          <w:tcPr>
            <w:tcW w:w="990" w:type="dxa"/>
            <w:tcBorders>
              <w:top w:val="nil"/>
              <w:left w:val="nil"/>
              <w:bottom w:val="single" w:sz="4" w:space="0" w:color="auto"/>
              <w:right w:val="single" w:sz="4" w:space="0" w:color="auto"/>
            </w:tcBorders>
            <w:shd w:val="clear" w:color="000000" w:fill="FFFFFF"/>
            <w:noWrap/>
            <w:vAlign w:val="bottom"/>
            <w:hideMark/>
          </w:tcPr>
          <w:p w14:paraId="525B7756" w14:textId="77777777" w:rsidR="00E37D91" w:rsidRPr="0050472E" w:rsidRDefault="00E37D91" w:rsidP="00E37D91">
            <w:pPr>
              <w:keepNext/>
              <w:jc w:val="center"/>
              <w:rPr>
                <w:rFonts w:cs="Calibri"/>
                <w:b/>
                <w:sz w:val="22"/>
                <w:szCs w:val="22"/>
              </w:rPr>
            </w:pPr>
            <w:r w:rsidRPr="0050472E">
              <w:rPr>
                <w:rFonts w:cs="Calibri"/>
                <w:b/>
                <w:sz w:val="22"/>
                <w:szCs w:val="22"/>
              </w:rPr>
              <w:t>342</w:t>
            </w:r>
          </w:p>
        </w:tc>
        <w:tc>
          <w:tcPr>
            <w:tcW w:w="1084" w:type="dxa"/>
            <w:tcBorders>
              <w:top w:val="nil"/>
              <w:left w:val="nil"/>
              <w:bottom w:val="single" w:sz="4" w:space="0" w:color="auto"/>
              <w:right w:val="single" w:sz="4" w:space="0" w:color="auto"/>
            </w:tcBorders>
            <w:shd w:val="clear" w:color="000000" w:fill="FFFFFF"/>
            <w:noWrap/>
            <w:vAlign w:val="bottom"/>
            <w:hideMark/>
          </w:tcPr>
          <w:p w14:paraId="19FDEE7E" w14:textId="77777777" w:rsidR="00E37D91" w:rsidRPr="0050472E" w:rsidRDefault="00E37D91" w:rsidP="00E37D91">
            <w:pPr>
              <w:keepNext/>
              <w:jc w:val="center"/>
              <w:rPr>
                <w:rFonts w:cs="Calibri"/>
                <w:b/>
                <w:sz w:val="22"/>
                <w:szCs w:val="22"/>
              </w:rPr>
            </w:pPr>
            <w:r w:rsidRPr="0050472E">
              <w:rPr>
                <w:rFonts w:cs="Calibri"/>
                <w:b/>
                <w:sz w:val="22"/>
                <w:szCs w:val="22"/>
              </w:rPr>
              <w:t>0.59</w:t>
            </w:r>
          </w:p>
        </w:tc>
        <w:tc>
          <w:tcPr>
            <w:tcW w:w="1076" w:type="dxa"/>
            <w:tcBorders>
              <w:top w:val="nil"/>
              <w:left w:val="nil"/>
              <w:bottom w:val="single" w:sz="4" w:space="0" w:color="auto"/>
              <w:right w:val="single" w:sz="4" w:space="0" w:color="auto"/>
            </w:tcBorders>
            <w:shd w:val="clear" w:color="000000" w:fill="FFFFFF"/>
            <w:noWrap/>
            <w:vAlign w:val="bottom"/>
            <w:hideMark/>
          </w:tcPr>
          <w:p w14:paraId="3DB31FDB" w14:textId="77777777" w:rsidR="00E37D91" w:rsidRPr="0050472E" w:rsidRDefault="00E37D91" w:rsidP="00E37D91">
            <w:pPr>
              <w:keepNext/>
              <w:jc w:val="center"/>
              <w:rPr>
                <w:rFonts w:cs="Calibri"/>
                <w:b/>
                <w:sz w:val="22"/>
                <w:szCs w:val="22"/>
              </w:rPr>
            </w:pPr>
            <w:r w:rsidRPr="0050472E">
              <w:rPr>
                <w:rFonts w:cs="Calibri"/>
                <w:b/>
                <w:sz w:val="22"/>
                <w:szCs w:val="22"/>
              </w:rPr>
              <w:t>0.19</w:t>
            </w:r>
          </w:p>
        </w:tc>
        <w:tc>
          <w:tcPr>
            <w:tcW w:w="989" w:type="dxa"/>
            <w:tcBorders>
              <w:top w:val="nil"/>
              <w:left w:val="nil"/>
              <w:bottom w:val="single" w:sz="4" w:space="0" w:color="auto"/>
              <w:right w:val="single" w:sz="4" w:space="0" w:color="auto"/>
            </w:tcBorders>
            <w:shd w:val="clear" w:color="000000" w:fill="FFFFFF"/>
            <w:noWrap/>
            <w:vAlign w:val="bottom"/>
            <w:hideMark/>
          </w:tcPr>
          <w:p w14:paraId="1BD9E45C" w14:textId="77777777" w:rsidR="00E37D91" w:rsidRPr="0050472E" w:rsidRDefault="00E37D91" w:rsidP="00E37D91">
            <w:pPr>
              <w:keepNext/>
              <w:jc w:val="center"/>
              <w:rPr>
                <w:rFonts w:cs="Calibri"/>
                <w:b/>
                <w:sz w:val="22"/>
                <w:szCs w:val="22"/>
              </w:rPr>
            </w:pPr>
            <w:r w:rsidRPr="0050472E">
              <w:rPr>
                <w:rFonts w:cs="Calibri"/>
                <w:b/>
                <w:sz w:val="22"/>
                <w:szCs w:val="22"/>
              </w:rPr>
              <w:t>1.73</w:t>
            </w:r>
          </w:p>
        </w:tc>
        <w:tc>
          <w:tcPr>
            <w:tcW w:w="989" w:type="dxa"/>
            <w:tcBorders>
              <w:top w:val="nil"/>
              <w:left w:val="nil"/>
              <w:bottom w:val="single" w:sz="4" w:space="0" w:color="auto"/>
              <w:right w:val="single" w:sz="4" w:space="0" w:color="auto"/>
            </w:tcBorders>
            <w:shd w:val="clear" w:color="000000" w:fill="FFFFFF"/>
            <w:noWrap/>
            <w:vAlign w:val="bottom"/>
            <w:hideMark/>
          </w:tcPr>
          <w:p w14:paraId="111A620F" w14:textId="77777777" w:rsidR="00E37D91" w:rsidRPr="0050472E" w:rsidRDefault="00E37D91" w:rsidP="00E37D91">
            <w:pPr>
              <w:keepNext/>
              <w:jc w:val="center"/>
              <w:rPr>
                <w:rFonts w:cs="Calibri"/>
                <w:b/>
                <w:sz w:val="22"/>
                <w:szCs w:val="22"/>
              </w:rPr>
            </w:pPr>
            <w:r w:rsidRPr="0050472E">
              <w:rPr>
                <w:rFonts w:cs="Calibri"/>
                <w:b/>
                <w:sz w:val="22"/>
                <w:szCs w:val="22"/>
              </w:rPr>
              <w:t>0.55</w:t>
            </w:r>
          </w:p>
        </w:tc>
        <w:tc>
          <w:tcPr>
            <w:tcW w:w="925" w:type="dxa"/>
            <w:tcBorders>
              <w:top w:val="nil"/>
              <w:left w:val="nil"/>
              <w:bottom w:val="single" w:sz="4" w:space="0" w:color="auto"/>
              <w:right w:val="single" w:sz="4" w:space="0" w:color="auto"/>
            </w:tcBorders>
            <w:shd w:val="clear" w:color="000000" w:fill="FFFFFF"/>
            <w:noWrap/>
            <w:vAlign w:val="bottom"/>
            <w:hideMark/>
          </w:tcPr>
          <w:p w14:paraId="3C309B9D" w14:textId="77777777" w:rsidR="00E37D91" w:rsidRPr="0050472E" w:rsidRDefault="00E37D91" w:rsidP="00E37D91">
            <w:pPr>
              <w:keepNext/>
              <w:jc w:val="center"/>
              <w:rPr>
                <w:rFonts w:cs="Calibri"/>
                <w:b/>
                <w:sz w:val="22"/>
                <w:szCs w:val="22"/>
              </w:rPr>
            </w:pPr>
            <w:r w:rsidRPr="0050472E">
              <w:rPr>
                <w:rFonts w:cs="Calibri"/>
                <w:b/>
                <w:sz w:val="22"/>
                <w:szCs w:val="22"/>
              </w:rPr>
              <w:t>32.0%</w:t>
            </w:r>
          </w:p>
        </w:tc>
        <w:tc>
          <w:tcPr>
            <w:tcW w:w="877" w:type="dxa"/>
            <w:tcBorders>
              <w:top w:val="nil"/>
              <w:left w:val="nil"/>
              <w:bottom w:val="single" w:sz="4" w:space="0" w:color="auto"/>
              <w:right w:val="single" w:sz="4" w:space="0" w:color="auto"/>
            </w:tcBorders>
            <w:shd w:val="clear" w:color="000000" w:fill="FFFFFF"/>
            <w:noWrap/>
            <w:vAlign w:val="bottom"/>
            <w:hideMark/>
          </w:tcPr>
          <w:p w14:paraId="2FCE986C" w14:textId="77777777" w:rsidR="00E37D91" w:rsidRPr="0050472E" w:rsidRDefault="00E37D91" w:rsidP="00E37D91">
            <w:pPr>
              <w:keepNext/>
              <w:jc w:val="center"/>
              <w:rPr>
                <w:rFonts w:cs="Calibri"/>
                <w:b/>
                <w:sz w:val="22"/>
                <w:szCs w:val="22"/>
              </w:rPr>
            </w:pPr>
            <w:r w:rsidRPr="0050472E">
              <w:rPr>
                <w:rFonts w:cs="Calibri"/>
                <w:b/>
                <w:sz w:val="22"/>
                <w:szCs w:val="22"/>
              </w:rPr>
              <w:t>93</w:t>
            </w:r>
          </w:p>
        </w:tc>
      </w:tr>
    </w:tbl>
    <w:p w14:paraId="196BE926" w14:textId="77777777" w:rsidR="002E5ED3" w:rsidRDefault="002E5ED3" w:rsidP="00095AB1">
      <w:pPr>
        <w:spacing w:after="120"/>
      </w:pPr>
    </w:p>
    <w:p w14:paraId="24523485" w14:textId="1F733869" w:rsidR="002E5ED3" w:rsidRDefault="002E5ED3" w:rsidP="00095AB1">
      <w:pPr>
        <w:spacing w:after="120"/>
      </w:pPr>
      <w:r>
        <w:t xml:space="preserve">Figure 4.3 shows aggregate hourly loads and load impacts for customers dually enrolled in CPP and SCTD </w:t>
      </w:r>
      <w:r w:rsidR="00E805EE">
        <w:t xml:space="preserve">for the 2017 </w:t>
      </w:r>
      <w:r w:rsidR="0050472E">
        <w:t>average weekday event</w:t>
      </w:r>
      <w:r>
        <w:t xml:space="preserve">. The </w:t>
      </w:r>
      <w:r w:rsidR="004B4A3A">
        <w:t>shaded</w:t>
      </w:r>
      <w:r>
        <w:t xml:space="preserve"> hours </w:t>
      </w:r>
      <w:r w:rsidR="004B4A3A">
        <w:t>indicate</w:t>
      </w:r>
      <w:r>
        <w:t xml:space="preserve"> the SCTD event</w:t>
      </w:r>
      <w:r w:rsidR="004B4A3A">
        <w:t>-hours</w:t>
      </w:r>
      <w:r>
        <w:t xml:space="preserve"> (</w:t>
      </w:r>
      <w:r>
        <w:rPr>
          <w:i/>
        </w:rPr>
        <w:t xml:space="preserve">i.e., </w:t>
      </w:r>
      <w:r>
        <w:t xml:space="preserve">2 to 6 p.m.). The load impact estimates are </w:t>
      </w:r>
      <w:r w:rsidR="004B4A3A">
        <w:t xml:space="preserve">shown separately </w:t>
      </w:r>
      <w:r>
        <w:t xml:space="preserve">for the </w:t>
      </w:r>
      <w:r w:rsidR="004B4A3A">
        <w:t xml:space="preserve">incremental </w:t>
      </w:r>
      <w:r>
        <w:t>SCTD event (</w:t>
      </w:r>
      <w:r w:rsidR="004B4A3A">
        <w:t xml:space="preserve">the lower </w:t>
      </w:r>
      <w:r w:rsidR="00E805EE">
        <w:t>green</w:t>
      </w:r>
      <w:r w:rsidR="004B4A3A">
        <w:t xml:space="preserve"> line</w:t>
      </w:r>
      <w:r>
        <w:t xml:space="preserve">) and </w:t>
      </w:r>
      <w:r w:rsidR="00F64343">
        <w:t>the</w:t>
      </w:r>
      <w:r>
        <w:t xml:space="preserve"> combin</w:t>
      </w:r>
      <w:r w:rsidR="00F64343">
        <w:t>ed</w:t>
      </w:r>
      <w:r>
        <w:t xml:space="preserve"> SCTD and CPP event (</w:t>
      </w:r>
      <w:r w:rsidR="00F64343">
        <w:t xml:space="preserve">the upper </w:t>
      </w:r>
      <w:r w:rsidR="00E805EE">
        <w:t>gray</w:t>
      </w:r>
      <w:r w:rsidR="00F64343">
        <w:t xml:space="preserve"> line</w:t>
      </w:r>
      <w:r>
        <w:t xml:space="preserve">). The largest hourly </w:t>
      </w:r>
      <w:r w:rsidR="00F64343">
        <w:t xml:space="preserve">incremental </w:t>
      </w:r>
      <w:r>
        <w:t xml:space="preserve">SCTD load impact </w:t>
      </w:r>
      <w:r w:rsidRPr="006611E3">
        <w:t xml:space="preserve">was </w:t>
      </w:r>
      <w:r>
        <w:t>0</w:t>
      </w:r>
      <w:r w:rsidRPr="00E17290">
        <w:t>.</w:t>
      </w:r>
      <w:r w:rsidR="00E805EE">
        <w:t>13</w:t>
      </w:r>
      <w:r w:rsidR="00A36365" w:rsidRPr="00E17290">
        <w:t xml:space="preserve"> </w:t>
      </w:r>
      <w:r w:rsidRPr="00E17290">
        <w:t>MW</w:t>
      </w:r>
      <w:r w:rsidR="002770E4">
        <w:t>h/h</w:t>
      </w:r>
      <w:r w:rsidRPr="00E17290">
        <w:t xml:space="preserve"> in </w:t>
      </w:r>
      <w:r w:rsidR="001F7E90">
        <w:t>the first SCTD event-hour</w:t>
      </w:r>
      <w:r w:rsidRPr="00E17290">
        <w:t xml:space="preserve"> (</w:t>
      </w:r>
      <w:r w:rsidR="00F64343">
        <w:t>2</w:t>
      </w:r>
      <w:r w:rsidRPr="00E17290">
        <w:t xml:space="preserve"> to </w:t>
      </w:r>
      <w:r w:rsidR="00F64343">
        <w:t>3</w:t>
      </w:r>
      <w:r w:rsidRPr="00E17290">
        <w:t xml:space="preserve"> p.m.).</w:t>
      </w:r>
    </w:p>
    <w:p w14:paraId="00B58F89" w14:textId="77777777" w:rsidR="002E5ED3" w:rsidRDefault="002E5ED3" w:rsidP="00095AB1">
      <w:pPr>
        <w:spacing w:after="120"/>
      </w:pPr>
    </w:p>
    <w:p w14:paraId="50503D9B" w14:textId="4B663508" w:rsidR="002E5ED3" w:rsidRDefault="002E5ED3" w:rsidP="00095AB1">
      <w:pPr>
        <w:pStyle w:val="FigureCaption"/>
        <w:keepNext/>
      </w:pPr>
      <w:bookmarkStart w:id="77" w:name="_Toc509576816"/>
      <w:r w:rsidRPr="001F7E90">
        <w:lastRenderedPageBreak/>
        <w:t xml:space="preserve">Figure 4.3: CPP+SCTD Hourly Loads and Load Impacts for Dually Enrolled Customers </w:t>
      </w:r>
      <w:r w:rsidRPr="001F7E90">
        <w:br/>
        <w:t xml:space="preserve">– </w:t>
      </w:r>
      <w:r w:rsidR="0050472E" w:rsidRPr="0050472E">
        <w:rPr>
          <w:i/>
        </w:rPr>
        <w:t>Average Weekday</w:t>
      </w:r>
      <w:r w:rsidR="00E805EE" w:rsidRPr="0050472E">
        <w:rPr>
          <w:i/>
        </w:rPr>
        <w:t xml:space="preserve"> Event</w:t>
      </w:r>
      <w:bookmarkEnd w:id="77"/>
    </w:p>
    <w:p w14:paraId="37C1873F" w14:textId="57E5D7E7" w:rsidR="00F715E5" w:rsidRDefault="00424D5F" w:rsidP="00095AB1">
      <w:pPr>
        <w:spacing w:after="120"/>
        <w:jc w:val="center"/>
      </w:pPr>
      <w:r>
        <w:rPr>
          <w:noProof/>
        </w:rPr>
        <w:drawing>
          <wp:inline distT="0" distB="0" distL="0" distR="0" wp14:anchorId="5B49976F" wp14:editId="4FAA6B5E">
            <wp:extent cx="5035550" cy="3139440"/>
            <wp:effectExtent l="0" t="0" r="0" b="381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035550" cy="3139440"/>
                    </a:xfrm>
                    <a:prstGeom prst="rect">
                      <a:avLst/>
                    </a:prstGeom>
                    <a:noFill/>
                  </pic:spPr>
                </pic:pic>
              </a:graphicData>
            </a:graphic>
          </wp:inline>
        </w:drawing>
      </w:r>
    </w:p>
    <w:p w14:paraId="28E7D85C" w14:textId="1525D022" w:rsidR="00A0692D" w:rsidRDefault="00A0692D" w:rsidP="00095AB1">
      <w:pPr>
        <w:spacing w:after="120"/>
        <w:jc w:val="center"/>
      </w:pPr>
    </w:p>
    <w:p w14:paraId="0D8E7A15" w14:textId="62070372" w:rsidR="00BF4FD5" w:rsidRDefault="00BF4FD5" w:rsidP="00095AB1">
      <w:pPr>
        <w:pStyle w:val="Heading1"/>
        <w:spacing w:after="120"/>
      </w:pPr>
      <w:bookmarkStart w:id="78" w:name="_Toc509576759"/>
      <w:r>
        <w:t>5</w:t>
      </w:r>
      <w:r w:rsidRPr="00146E50">
        <w:t xml:space="preserve">. </w:t>
      </w:r>
      <w:r>
        <w:t xml:space="preserve">TOU </w:t>
      </w:r>
      <w:r>
        <w:rPr>
          <w:i/>
        </w:rPr>
        <w:t>Ex-Post</w:t>
      </w:r>
      <w:r>
        <w:t xml:space="preserve"> Load Impact </w:t>
      </w:r>
      <w:r w:rsidRPr="00146E50">
        <w:t>Study Findings</w:t>
      </w:r>
      <w:bookmarkEnd w:id="78"/>
    </w:p>
    <w:p w14:paraId="7353A374" w14:textId="72FD7915" w:rsidR="00D4422E" w:rsidRDefault="00EB0E58" w:rsidP="00095AB1">
      <w:pPr>
        <w:spacing w:after="120"/>
      </w:pPr>
      <w:r>
        <w:t xml:space="preserve">This section presents </w:t>
      </w:r>
      <w:r w:rsidR="00BB6F34">
        <w:t xml:space="preserve">the match quality and </w:t>
      </w:r>
      <w:r>
        <w:t xml:space="preserve">estimates of monthly peak </w:t>
      </w:r>
      <w:r w:rsidR="00AA039A">
        <w:t xml:space="preserve">TOU </w:t>
      </w:r>
      <w:r>
        <w:t xml:space="preserve">load impacts </w:t>
      </w:r>
      <w:r w:rsidR="00985A7E">
        <w:t>for</w:t>
      </w:r>
      <w:r>
        <w:t xml:space="preserve"> the TOU (TOU-DR) customers and </w:t>
      </w:r>
      <w:r w:rsidR="00985A7E">
        <w:t xml:space="preserve">for </w:t>
      </w:r>
      <w:r>
        <w:t xml:space="preserve">customers enrolled in </w:t>
      </w:r>
      <w:r w:rsidR="005E5D58">
        <w:t>CPP</w:t>
      </w:r>
      <w:r>
        <w:t xml:space="preserve"> (TOU-DR-P).</w:t>
      </w:r>
    </w:p>
    <w:p w14:paraId="56C9D34B" w14:textId="68F9B174" w:rsidR="001D0D94" w:rsidRDefault="00FD4554" w:rsidP="00095AB1">
      <w:pPr>
        <w:pStyle w:val="Heading2"/>
        <w:spacing w:after="120"/>
      </w:pPr>
      <w:bookmarkStart w:id="79" w:name="_Toc509576760"/>
      <w:r>
        <w:t xml:space="preserve">5.1 </w:t>
      </w:r>
      <w:r w:rsidR="00CA562C">
        <w:t>TOU c</w:t>
      </w:r>
      <w:r w:rsidR="00EB0E58">
        <w:t>ontrol group matching results</w:t>
      </w:r>
      <w:r w:rsidR="00985A7E">
        <w:t xml:space="preserve"> </w:t>
      </w:r>
      <w:r w:rsidR="00CA562C">
        <w:t>for</w:t>
      </w:r>
      <w:r w:rsidR="00985A7E">
        <w:t xml:space="preserve"> TOU</w:t>
      </w:r>
      <w:r w:rsidR="00CA562C">
        <w:t xml:space="preserve"> customers</w:t>
      </w:r>
      <w:bookmarkEnd w:id="79"/>
    </w:p>
    <w:p w14:paraId="627A1714" w14:textId="37DAC5F5" w:rsidR="00EB0E58" w:rsidRDefault="00EB0E58" w:rsidP="00095AB1">
      <w:pPr>
        <w:spacing w:after="120"/>
      </w:pPr>
      <w:r>
        <w:t xml:space="preserve">Figures 5.1 and 5.2 illustrate the quality of the matches for the TOU (TOU-DR) customers. The figures show the average TOU and matched control-group customer load profiles for the summer and </w:t>
      </w:r>
      <w:r w:rsidR="003C67C8">
        <w:t>winter</w:t>
      </w:r>
      <w:r>
        <w:t xml:space="preserve"> months, respectively. Two pairs of loads are shown, one for all weekdays, and one for the hottest (or coldest) days. In the summer months, the mean percentage error (MPE) of the </w:t>
      </w:r>
      <w:r w:rsidR="000C33F6">
        <w:t>TOU</w:t>
      </w:r>
      <w:r>
        <w:t xml:space="preserve"> profile compared to the control-group profile is </w:t>
      </w:r>
      <w:r w:rsidR="004B42CA">
        <w:t>2.5</w:t>
      </w:r>
      <w:r>
        <w:t xml:space="preserve"> percent, while the mean absolute percentage error (MAPE) is </w:t>
      </w:r>
      <w:r w:rsidR="004B42CA">
        <w:t>2.7</w:t>
      </w:r>
      <w:r>
        <w:t xml:space="preserve"> percent. In the </w:t>
      </w:r>
      <w:r w:rsidR="003C67C8">
        <w:t>winter</w:t>
      </w:r>
      <w:r>
        <w:t xml:space="preserve"> months, the MPE is </w:t>
      </w:r>
      <w:r w:rsidR="000425AC">
        <w:t>2.</w:t>
      </w:r>
      <w:r w:rsidR="004B42CA">
        <w:t xml:space="preserve">5 </w:t>
      </w:r>
      <w:r>
        <w:t xml:space="preserve">percent and the MAPE is </w:t>
      </w:r>
      <w:r w:rsidR="000425AC">
        <w:t>3.0</w:t>
      </w:r>
      <w:r>
        <w:t xml:space="preserve"> percent. </w:t>
      </w:r>
    </w:p>
    <w:p w14:paraId="6E98A4E4" w14:textId="77777777" w:rsidR="00E22186" w:rsidRDefault="00E22186" w:rsidP="00095AB1">
      <w:pPr>
        <w:spacing w:after="120"/>
      </w:pPr>
    </w:p>
    <w:p w14:paraId="5D0DEA01" w14:textId="5BF6A4BD" w:rsidR="0045320D" w:rsidRDefault="00E22186" w:rsidP="00095AB1">
      <w:pPr>
        <w:pStyle w:val="FigureCaption"/>
        <w:keepNext/>
        <w:keepLines/>
      </w:pPr>
      <w:bookmarkStart w:id="80" w:name="_Toc509576817"/>
      <w:r w:rsidRPr="00E862C2">
        <w:lastRenderedPageBreak/>
        <w:t xml:space="preserve">Figure 5.1: TOU and </w:t>
      </w:r>
      <w:r w:rsidR="0026102E">
        <w:t xml:space="preserve">Matched </w:t>
      </w:r>
      <w:r w:rsidRPr="00E862C2">
        <w:t xml:space="preserve">Control Group Load Profiles – </w:t>
      </w:r>
      <w:r w:rsidRPr="00E862C2">
        <w:rPr>
          <w:i/>
        </w:rPr>
        <w:t>Summer</w:t>
      </w:r>
      <w:bookmarkEnd w:id="80"/>
    </w:p>
    <w:p w14:paraId="12D2BFC4" w14:textId="05AA2776" w:rsidR="00DF4B32" w:rsidRDefault="00DF4B32" w:rsidP="00095AB1">
      <w:pPr>
        <w:spacing w:after="120"/>
        <w:jc w:val="center"/>
      </w:pPr>
      <w:r>
        <w:rPr>
          <w:noProof/>
        </w:rPr>
        <w:drawing>
          <wp:inline distT="0" distB="0" distL="0" distR="0" wp14:anchorId="27A9EBFC" wp14:editId="3E127AA7">
            <wp:extent cx="5029835" cy="32004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029835" cy="3200400"/>
                    </a:xfrm>
                    <a:prstGeom prst="rect">
                      <a:avLst/>
                    </a:prstGeom>
                    <a:noFill/>
                  </pic:spPr>
                </pic:pic>
              </a:graphicData>
            </a:graphic>
          </wp:inline>
        </w:drawing>
      </w:r>
    </w:p>
    <w:p w14:paraId="4E15EDC7" w14:textId="4DB4DA88" w:rsidR="0045320D" w:rsidRDefault="0045320D" w:rsidP="00095AB1">
      <w:pPr>
        <w:spacing w:after="120"/>
        <w:jc w:val="center"/>
      </w:pPr>
    </w:p>
    <w:p w14:paraId="610A186E" w14:textId="2BF69B74" w:rsidR="00E22186" w:rsidRDefault="00E22186" w:rsidP="00095AB1">
      <w:pPr>
        <w:pStyle w:val="FigureCaption"/>
        <w:keepNext/>
        <w:keepLines/>
      </w:pPr>
      <w:bookmarkStart w:id="81" w:name="_Toc509576818"/>
      <w:r w:rsidRPr="00E862C2">
        <w:t xml:space="preserve">Figure 5.2: TOU and </w:t>
      </w:r>
      <w:r w:rsidR="0026102E">
        <w:t xml:space="preserve">Matched </w:t>
      </w:r>
      <w:r w:rsidRPr="00E862C2">
        <w:t xml:space="preserve">Control Group Load Profiles – </w:t>
      </w:r>
      <w:r w:rsidR="003C67C8" w:rsidRPr="00E862C2">
        <w:rPr>
          <w:i/>
        </w:rPr>
        <w:t>Wint</w:t>
      </w:r>
      <w:r w:rsidRPr="00E862C2">
        <w:rPr>
          <w:i/>
        </w:rPr>
        <w:t>er</w:t>
      </w:r>
      <w:bookmarkEnd w:id="81"/>
    </w:p>
    <w:p w14:paraId="709BB754" w14:textId="1756DE6F" w:rsidR="0045320D" w:rsidRDefault="00A3092B" w:rsidP="00095AB1">
      <w:pPr>
        <w:spacing w:after="120"/>
        <w:jc w:val="center"/>
      </w:pPr>
      <w:r>
        <w:rPr>
          <w:noProof/>
        </w:rPr>
        <w:drawing>
          <wp:inline distT="0" distB="0" distL="0" distR="0" wp14:anchorId="25268294" wp14:editId="376ACD68">
            <wp:extent cx="5023485" cy="3200400"/>
            <wp:effectExtent l="0" t="0" r="571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023485" cy="3200400"/>
                    </a:xfrm>
                    <a:prstGeom prst="rect">
                      <a:avLst/>
                    </a:prstGeom>
                    <a:noFill/>
                  </pic:spPr>
                </pic:pic>
              </a:graphicData>
            </a:graphic>
          </wp:inline>
        </w:drawing>
      </w:r>
    </w:p>
    <w:p w14:paraId="12DD200E" w14:textId="03C55DAE" w:rsidR="0045320D" w:rsidRDefault="0045320D" w:rsidP="00237521">
      <w:pPr>
        <w:spacing w:after="120"/>
      </w:pPr>
    </w:p>
    <w:p w14:paraId="5CDF24D1" w14:textId="0CE29514" w:rsidR="0029729B" w:rsidRPr="00CD354B" w:rsidRDefault="00BF4FD5" w:rsidP="00095AB1">
      <w:pPr>
        <w:pStyle w:val="Heading2"/>
        <w:spacing w:after="120"/>
      </w:pPr>
      <w:bookmarkStart w:id="82" w:name="_Toc509576761"/>
      <w:r>
        <w:lastRenderedPageBreak/>
        <w:t>5</w:t>
      </w:r>
      <w:r w:rsidR="000C33F6">
        <w:t>.2</w:t>
      </w:r>
      <w:r w:rsidR="0029729B">
        <w:t xml:space="preserve"> E</w:t>
      </w:r>
      <w:r>
        <w:t xml:space="preserve">x-post </w:t>
      </w:r>
      <w:r w:rsidR="00CA562C">
        <w:t xml:space="preserve">TOU </w:t>
      </w:r>
      <w:r>
        <w:t xml:space="preserve">load impacts </w:t>
      </w:r>
      <w:r w:rsidR="00CA562C">
        <w:t>for</w:t>
      </w:r>
      <w:r w:rsidR="001D0D94">
        <w:t xml:space="preserve"> TOU</w:t>
      </w:r>
      <w:r w:rsidR="00CA562C">
        <w:t xml:space="preserve"> customers</w:t>
      </w:r>
      <w:bookmarkEnd w:id="82"/>
    </w:p>
    <w:p w14:paraId="0E44C5C5" w14:textId="26B361A1" w:rsidR="00FC1373" w:rsidRDefault="005E0E70" w:rsidP="00095AB1">
      <w:pPr>
        <w:spacing w:after="120"/>
      </w:pPr>
      <w:r>
        <w:t xml:space="preserve">This sub-section shows </w:t>
      </w:r>
      <w:r w:rsidR="001A2A42" w:rsidRPr="00237521">
        <w:rPr>
          <w:i/>
        </w:rPr>
        <w:t>ex-post</w:t>
      </w:r>
      <w:r w:rsidR="001A2A42">
        <w:t xml:space="preserve"> TOU </w:t>
      </w:r>
      <w:r>
        <w:t xml:space="preserve">load impact results for those customers enrolled in the TOU (TOU-DR) rate. </w:t>
      </w:r>
      <w:r w:rsidR="00047A89">
        <w:t xml:space="preserve">Table </w:t>
      </w:r>
      <w:r w:rsidR="00FC1373">
        <w:t>5</w:t>
      </w:r>
      <w:r w:rsidR="00047A89">
        <w:t>.</w:t>
      </w:r>
      <w:r w:rsidR="00293B4B">
        <w:t>1</w:t>
      </w:r>
      <w:r w:rsidR="00047A89">
        <w:t xml:space="preserve"> summarizes the average reference load</w:t>
      </w:r>
      <w:r w:rsidR="00D57CEB">
        <w:t>s</w:t>
      </w:r>
      <w:r w:rsidR="00047A89">
        <w:t xml:space="preserve"> and </w:t>
      </w:r>
      <w:r w:rsidR="002643E8">
        <w:t xml:space="preserve">TOU </w:t>
      </w:r>
      <w:r w:rsidR="00047A89">
        <w:t>load impact</w:t>
      </w:r>
      <w:r w:rsidR="00D57CEB">
        <w:t>s</w:t>
      </w:r>
      <w:r w:rsidR="00047A89">
        <w:t xml:space="preserve"> for the </w:t>
      </w:r>
      <w:r w:rsidR="001D0D94">
        <w:t xml:space="preserve">TOU </w:t>
      </w:r>
      <w:r w:rsidR="00047A89">
        <w:t>peak period (</w:t>
      </w:r>
      <w:r w:rsidR="00047A89">
        <w:rPr>
          <w:i/>
        </w:rPr>
        <w:t>i.e.</w:t>
      </w:r>
      <w:r w:rsidR="00047A89">
        <w:t>, 1</w:t>
      </w:r>
      <w:r w:rsidR="001D0D94">
        <w:t>1 a.m.</w:t>
      </w:r>
      <w:r w:rsidR="00047A89">
        <w:t xml:space="preserve"> to </w:t>
      </w:r>
      <w:r w:rsidR="001D0D94">
        <w:t>6</w:t>
      </w:r>
      <w:r w:rsidR="00047A89">
        <w:t xml:space="preserve"> p.m. for May through October, and </w:t>
      </w:r>
      <w:r w:rsidR="001D0D94">
        <w:t>5</w:t>
      </w:r>
      <w:r w:rsidR="00047A89">
        <w:t xml:space="preserve"> to 8 p.m. for November through April), for the average weekday </w:t>
      </w:r>
      <w:r w:rsidR="00FC1373" w:rsidRPr="005E0E70">
        <w:rPr>
          <w:i/>
        </w:rPr>
        <w:t xml:space="preserve">by </w:t>
      </w:r>
      <w:r w:rsidR="00637BDE">
        <w:rPr>
          <w:i/>
        </w:rPr>
        <w:t>month</w:t>
      </w:r>
      <w:r w:rsidR="00047A89">
        <w:t xml:space="preserve">, on an aggregate and per-customer basis. </w:t>
      </w:r>
      <w:r w:rsidR="00637BDE">
        <w:t>The months are shown starting with the first month included in the analysis (October 201</w:t>
      </w:r>
      <w:r w:rsidR="00D950DE">
        <w:t>6</w:t>
      </w:r>
      <w:r w:rsidR="00637BDE">
        <w:t xml:space="preserve">). The </w:t>
      </w:r>
      <w:r w:rsidR="00F23CC4">
        <w:t>winter</w:t>
      </w:r>
      <w:r w:rsidR="00637BDE">
        <w:t xml:space="preserve"> months are indicated by light blue shading.</w:t>
      </w:r>
      <w:r w:rsidR="00E2310D">
        <w:t xml:space="preserve"> </w:t>
      </w:r>
      <w:r w:rsidR="00637BDE">
        <w:t xml:space="preserve">Enrollment continued throughout the period, with the numbers of enrolled customers rising from </w:t>
      </w:r>
      <w:r w:rsidR="00E2310D">
        <w:t>653</w:t>
      </w:r>
      <w:r w:rsidR="00A36365">
        <w:t xml:space="preserve"> </w:t>
      </w:r>
      <w:r w:rsidR="00E2310D">
        <w:t>in October 2016</w:t>
      </w:r>
      <w:r w:rsidR="00637BDE">
        <w:t xml:space="preserve"> to </w:t>
      </w:r>
      <w:r w:rsidR="00E2310D">
        <w:t>1,559</w:t>
      </w:r>
      <w:r w:rsidR="00A36365">
        <w:t xml:space="preserve"> </w:t>
      </w:r>
      <w:r w:rsidR="00637BDE">
        <w:t>in September 201</w:t>
      </w:r>
      <w:r w:rsidR="00E2310D">
        <w:t>7</w:t>
      </w:r>
      <w:r w:rsidR="00637BDE">
        <w:t>.</w:t>
      </w:r>
      <w:r w:rsidR="00623EDA">
        <w:rPr>
          <w:rStyle w:val="FootnoteReference"/>
        </w:rPr>
        <w:footnoteReference w:id="14"/>
      </w:r>
      <w:r w:rsidR="00637BDE">
        <w:t xml:space="preserve"> </w:t>
      </w:r>
      <w:r w:rsidR="002E06B8" w:rsidRPr="00237521">
        <w:t xml:space="preserve">Percentage load impacts were </w:t>
      </w:r>
      <w:r w:rsidR="00A13F47" w:rsidRPr="00237521">
        <w:t xml:space="preserve">essentially the same for the summer and </w:t>
      </w:r>
      <w:r w:rsidR="003C67C8" w:rsidRPr="00237521">
        <w:t>winter</w:t>
      </w:r>
      <w:r w:rsidR="00A13F47" w:rsidRPr="00237521">
        <w:t xml:space="preserve"> months due to the estimation method that combined data for all months in the relevant season, and constrained the estimated percentage peak load impact to be the same across months</w:t>
      </w:r>
      <w:r w:rsidR="00A13F47">
        <w:t xml:space="preserve">. </w:t>
      </w:r>
      <w:r w:rsidR="00FF377C">
        <w:t>The estimated seasonal percentage load impacts were</w:t>
      </w:r>
      <w:r w:rsidR="00A13F47">
        <w:t xml:space="preserve"> </w:t>
      </w:r>
      <w:r w:rsidR="00FF377C">
        <w:t xml:space="preserve">approximately </w:t>
      </w:r>
      <w:r w:rsidR="00E2310D">
        <w:t xml:space="preserve">6.0 </w:t>
      </w:r>
      <w:r w:rsidR="00FF377C">
        <w:t xml:space="preserve">percent in summer and </w:t>
      </w:r>
      <w:r w:rsidR="00D73E36">
        <w:t>-</w:t>
      </w:r>
      <w:r w:rsidR="00E2310D">
        <w:t>3.1</w:t>
      </w:r>
      <w:r w:rsidR="002E06B8">
        <w:t xml:space="preserve"> percent</w:t>
      </w:r>
      <w:r w:rsidR="00D73E36">
        <w:t xml:space="preserve">, an increase in usage, during the </w:t>
      </w:r>
      <w:r w:rsidR="00F23CC4">
        <w:t>winter</w:t>
      </w:r>
      <w:r w:rsidR="002E06B8">
        <w:t>.</w:t>
      </w:r>
      <w:r w:rsidR="00D73E36">
        <w:rPr>
          <w:rStyle w:val="FootnoteReference"/>
        </w:rPr>
        <w:footnoteReference w:id="15"/>
      </w:r>
      <w:r w:rsidR="00C00FDD">
        <w:t xml:space="preserve"> </w:t>
      </w:r>
    </w:p>
    <w:p w14:paraId="7E8935FA" w14:textId="28433C76" w:rsidR="00CE790E" w:rsidRDefault="005E0E70" w:rsidP="00CD7CF9">
      <w:pPr>
        <w:pStyle w:val="TableCaption"/>
        <w:keepNext/>
        <w:keepLines/>
        <w:rPr>
          <w:i/>
        </w:rPr>
      </w:pPr>
      <w:bookmarkStart w:id="83" w:name="_Toc509576794"/>
      <w:r>
        <w:t>Table 5</w:t>
      </w:r>
      <w:r w:rsidR="007F0DA2">
        <w:t>.</w:t>
      </w:r>
      <w:r w:rsidR="00293B4B">
        <w:t>1</w:t>
      </w:r>
      <w:r w:rsidR="007F0DA2">
        <w:t xml:space="preserve">: </w:t>
      </w:r>
      <w:r>
        <w:t xml:space="preserve">TOU </w:t>
      </w:r>
      <w:r w:rsidR="007F0DA2">
        <w:t xml:space="preserve">Peak Load </w:t>
      </w:r>
      <w:r w:rsidR="003F287A">
        <w:t>Impact</w:t>
      </w:r>
      <w:r w:rsidR="00193BBF">
        <w:t xml:space="preserve">s </w:t>
      </w:r>
      <w:r w:rsidR="006D4EEC">
        <w:t xml:space="preserve">for TOU Customers </w:t>
      </w:r>
      <w:r w:rsidR="00193BBF">
        <w:t xml:space="preserve">– </w:t>
      </w:r>
      <w:r w:rsidR="00193BBF" w:rsidRPr="00222B7F">
        <w:rPr>
          <w:i/>
        </w:rPr>
        <w:t xml:space="preserve">Average Weekday by </w:t>
      </w:r>
      <w:r w:rsidR="00637BDE">
        <w:rPr>
          <w:i/>
        </w:rPr>
        <w:t>Month</w:t>
      </w:r>
      <w:bookmarkEnd w:id="83"/>
    </w:p>
    <w:tbl>
      <w:tblPr>
        <w:tblW w:w="8920" w:type="dxa"/>
        <w:jc w:val="center"/>
        <w:tblLook w:val="04A0" w:firstRow="1" w:lastRow="0" w:firstColumn="1" w:lastColumn="0" w:noHBand="0" w:noVBand="1"/>
      </w:tblPr>
      <w:tblGrid>
        <w:gridCol w:w="1200"/>
        <w:gridCol w:w="960"/>
        <w:gridCol w:w="975"/>
        <w:gridCol w:w="1076"/>
        <w:gridCol w:w="1076"/>
        <w:gridCol w:w="989"/>
        <w:gridCol w:w="989"/>
        <w:gridCol w:w="960"/>
        <w:gridCol w:w="960"/>
      </w:tblGrid>
      <w:tr w:rsidR="00CD7CF9" w:rsidRPr="00CD7CF9" w14:paraId="3FAB3A71" w14:textId="77777777" w:rsidTr="00CD7CF9">
        <w:trPr>
          <w:trHeight w:val="300"/>
          <w:jc w:val="center"/>
        </w:trPr>
        <w:tc>
          <w:tcPr>
            <w:tcW w:w="1200" w:type="dxa"/>
            <w:tcBorders>
              <w:top w:val="single" w:sz="4" w:space="0" w:color="auto"/>
              <w:left w:val="single" w:sz="4" w:space="0" w:color="auto"/>
              <w:bottom w:val="nil"/>
              <w:right w:val="single" w:sz="4" w:space="0" w:color="FFFFFF"/>
            </w:tcBorders>
            <w:shd w:val="clear" w:color="000000" w:fill="132577"/>
            <w:noWrap/>
            <w:vAlign w:val="bottom"/>
            <w:hideMark/>
          </w:tcPr>
          <w:p w14:paraId="5AF604CA" w14:textId="77777777" w:rsidR="00CD7CF9" w:rsidRPr="00CD7CF9" w:rsidRDefault="00CD7CF9" w:rsidP="00E2310D">
            <w:pPr>
              <w:keepNext/>
              <w:rPr>
                <w:rFonts w:cs="Calibri"/>
                <w:color w:val="FFFFFF"/>
                <w:sz w:val="22"/>
                <w:szCs w:val="22"/>
              </w:rPr>
            </w:pPr>
            <w:r w:rsidRPr="00CD7CF9">
              <w:rPr>
                <w:rFonts w:cs="Calibri"/>
                <w:color w:val="FFFFFF"/>
                <w:sz w:val="22"/>
                <w:szCs w:val="22"/>
              </w:rPr>
              <w:t> </w:t>
            </w:r>
          </w:p>
        </w:tc>
        <w:tc>
          <w:tcPr>
            <w:tcW w:w="960" w:type="dxa"/>
            <w:tcBorders>
              <w:top w:val="single" w:sz="4" w:space="0" w:color="auto"/>
              <w:left w:val="nil"/>
              <w:bottom w:val="nil"/>
              <w:right w:val="single" w:sz="4" w:space="0" w:color="FFFFFF"/>
            </w:tcBorders>
            <w:shd w:val="clear" w:color="000000" w:fill="132577"/>
            <w:noWrap/>
            <w:vAlign w:val="bottom"/>
            <w:hideMark/>
          </w:tcPr>
          <w:p w14:paraId="2B22AB33" w14:textId="77777777" w:rsidR="00CD7CF9" w:rsidRPr="00CD7CF9" w:rsidRDefault="00CD7CF9" w:rsidP="00E2310D">
            <w:pPr>
              <w:keepNext/>
              <w:rPr>
                <w:rFonts w:cs="Calibri"/>
                <w:color w:val="FFFFFF"/>
                <w:sz w:val="22"/>
                <w:szCs w:val="22"/>
              </w:rPr>
            </w:pPr>
            <w:r w:rsidRPr="00CD7CF9">
              <w:rPr>
                <w:rFonts w:cs="Calibri"/>
                <w:color w:val="FFFFFF"/>
                <w:sz w:val="22"/>
                <w:szCs w:val="22"/>
              </w:rPr>
              <w:t> </w:t>
            </w:r>
          </w:p>
        </w:tc>
        <w:tc>
          <w:tcPr>
            <w:tcW w:w="960" w:type="dxa"/>
            <w:tcBorders>
              <w:top w:val="single" w:sz="4" w:space="0" w:color="auto"/>
              <w:left w:val="nil"/>
              <w:bottom w:val="nil"/>
              <w:right w:val="single" w:sz="4" w:space="0" w:color="FFFFFF"/>
            </w:tcBorders>
            <w:shd w:val="clear" w:color="000000" w:fill="132577"/>
            <w:noWrap/>
            <w:vAlign w:val="bottom"/>
            <w:hideMark/>
          </w:tcPr>
          <w:p w14:paraId="6C0E99FE" w14:textId="77777777" w:rsidR="00CD7CF9" w:rsidRPr="00CD7CF9" w:rsidRDefault="00CD7CF9" w:rsidP="00E2310D">
            <w:pPr>
              <w:keepNext/>
              <w:rPr>
                <w:rFonts w:cs="Calibri"/>
                <w:color w:val="FFFFFF"/>
                <w:sz w:val="22"/>
                <w:szCs w:val="22"/>
              </w:rPr>
            </w:pPr>
            <w:r w:rsidRPr="00CD7CF9">
              <w:rPr>
                <w:rFonts w:cs="Calibri"/>
                <w:color w:val="FFFFFF"/>
                <w:sz w:val="22"/>
                <w:szCs w:val="22"/>
              </w:rPr>
              <w:t> </w:t>
            </w:r>
          </w:p>
        </w:tc>
        <w:tc>
          <w:tcPr>
            <w:tcW w:w="1960" w:type="dxa"/>
            <w:gridSpan w:val="2"/>
            <w:tcBorders>
              <w:top w:val="single" w:sz="4" w:space="0" w:color="auto"/>
              <w:left w:val="nil"/>
              <w:bottom w:val="nil"/>
              <w:right w:val="single" w:sz="4" w:space="0" w:color="FFFFFF"/>
            </w:tcBorders>
            <w:shd w:val="clear" w:color="000000" w:fill="132577"/>
            <w:noWrap/>
            <w:vAlign w:val="bottom"/>
            <w:hideMark/>
          </w:tcPr>
          <w:p w14:paraId="073696A5" w14:textId="77777777" w:rsidR="00CD7CF9" w:rsidRPr="00CD7CF9" w:rsidRDefault="00CD7CF9" w:rsidP="00E2310D">
            <w:pPr>
              <w:keepNext/>
              <w:jc w:val="center"/>
              <w:rPr>
                <w:rFonts w:cs="Calibri"/>
                <w:b/>
                <w:bCs/>
                <w:color w:val="FFFFFF"/>
                <w:sz w:val="22"/>
                <w:szCs w:val="22"/>
              </w:rPr>
            </w:pPr>
            <w:r w:rsidRPr="00CD7CF9">
              <w:rPr>
                <w:rFonts w:cs="Calibri"/>
                <w:b/>
                <w:bCs/>
                <w:color w:val="FFFFFF"/>
                <w:sz w:val="22"/>
                <w:szCs w:val="22"/>
              </w:rPr>
              <w:t>Aggregate</w:t>
            </w:r>
          </w:p>
        </w:tc>
        <w:tc>
          <w:tcPr>
            <w:tcW w:w="1920" w:type="dxa"/>
            <w:gridSpan w:val="2"/>
            <w:tcBorders>
              <w:top w:val="single" w:sz="4" w:space="0" w:color="auto"/>
              <w:left w:val="nil"/>
              <w:bottom w:val="nil"/>
              <w:right w:val="single" w:sz="4" w:space="0" w:color="FFFFFF"/>
            </w:tcBorders>
            <w:shd w:val="clear" w:color="000000" w:fill="132577"/>
            <w:noWrap/>
            <w:vAlign w:val="bottom"/>
            <w:hideMark/>
          </w:tcPr>
          <w:p w14:paraId="543DE4AC" w14:textId="77777777" w:rsidR="00CD7CF9" w:rsidRPr="00CD7CF9" w:rsidRDefault="00CD7CF9" w:rsidP="00E2310D">
            <w:pPr>
              <w:keepNext/>
              <w:jc w:val="center"/>
              <w:rPr>
                <w:rFonts w:cs="Calibri"/>
                <w:b/>
                <w:bCs/>
                <w:color w:val="FFFFFF"/>
                <w:sz w:val="22"/>
                <w:szCs w:val="22"/>
              </w:rPr>
            </w:pPr>
            <w:r w:rsidRPr="00CD7CF9">
              <w:rPr>
                <w:rFonts w:cs="Calibri"/>
                <w:b/>
                <w:bCs/>
                <w:color w:val="FFFFFF"/>
                <w:sz w:val="22"/>
                <w:szCs w:val="22"/>
              </w:rPr>
              <w:t>Per-Customer</w:t>
            </w:r>
          </w:p>
        </w:tc>
        <w:tc>
          <w:tcPr>
            <w:tcW w:w="960" w:type="dxa"/>
            <w:tcBorders>
              <w:top w:val="single" w:sz="4" w:space="0" w:color="auto"/>
              <w:left w:val="nil"/>
              <w:bottom w:val="nil"/>
              <w:right w:val="single" w:sz="4" w:space="0" w:color="FFFFFF"/>
            </w:tcBorders>
            <w:shd w:val="clear" w:color="000000" w:fill="132577"/>
            <w:noWrap/>
            <w:vAlign w:val="bottom"/>
            <w:hideMark/>
          </w:tcPr>
          <w:p w14:paraId="657A852E" w14:textId="77777777" w:rsidR="00CD7CF9" w:rsidRPr="00CD7CF9" w:rsidRDefault="00CD7CF9" w:rsidP="00E2310D">
            <w:pPr>
              <w:keepNext/>
              <w:rPr>
                <w:rFonts w:cs="Calibri"/>
                <w:color w:val="FFFFFF"/>
                <w:sz w:val="22"/>
                <w:szCs w:val="22"/>
              </w:rPr>
            </w:pPr>
            <w:r w:rsidRPr="00CD7CF9">
              <w:rPr>
                <w:rFonts w:cs="Calibri"/>
                <w:color w:val="FFFFFF"/>
                <w:sz w:val="22"/>
                <w:szCs w:val="22"/>
              </w:rPr>
              <w:t> </w:t>
            </w:r>
          </w:p>
        </w:tc>
        <w:tc>
          <w:tcPr>
            <w:tcW w:w="960" w:type="dxa"/>
            <w:tcBorders>
              <w:top w:val="single" w:sz="4" w:space="0" w:color="auto"/>
              <w:left w:val="nil"/>
              <w:bottom w:val="nil"/>
              <w:right w:val="single" w:sz="4" w:space="0" w:color="auto"/>
            </w:tcBorders>
            <w:shd w:val="clear" w:color="000000" w:fill="132577"/>
            <w:noWrap/>
            <w:vAlign w:val="bottom"/>
            <w:hideMark/>
          </w:tcPr>
          <w:p w14:paraId="285428BA" w14:textId="77777777" w:rsidR="00CD7CF9" w:rsidRPr="00CD7CF9" w:rsidRDefault="00CD7CF9" w:rsidP="00E2310D">
            <w:pPr>
              <w:keepNext/>
              <w:rPr>
                <w:rFonts w:cs="Calibri"/>
                <w:color w:val="FFFFFF"/>
                <w:sz w:val="22"/>
                <w:szCs w:val="22"/>
              </w:rPr>
            </w:pPr>
            <w:r w:rsidRPr="00CD7CF9">
              <w:rPr>
                <w:rFonts w:cs="Calibri"/>
                <w:color w:val="FFFFFF"/>
                <w:sz w:val="22"/>
                <w:szCs w:val="22"/>
              </w:rPr>
              <w:t> </w:t>
            </w:r>
          </w:p>
        </w:tc>
      </w:tr>
      <w:tr w:rsidR="00CD7CF9" w:rsidRPr="00CD7CF9" w14:paraId="00178E66" w14:textId="77777777" w:rsidTr="0010027E">
        <w:trPr>
          <w:trHeight w:val="1215"/>
          <w:jc w:val="center"/>
        </w:trPr>
        <w:tc>
          <w:tcPr>
            <w:tcW w:w="1200" w:type="dxa"/>
            <w:tcBorders>
              <w:top w:val="nil"/>
              <w:left w:val="single" w:sz="4" w:space="0" w:color="auto"/>
              <w:bottom w:val="single" w:sz="4" w:space="0" w:color="auto"/>
              <w:right w:val="single" w:sz="4" w:space="0" w:color="FFFFFF"/>
            </w:tcBorders>
            <w:shd w:val="clear" w:color="auto" w:fill="0C2577"/>
            <w:noWrap/>
            <w:vAlign w:val="bottom"/>
            <w:hideMark/>
          </w:tcPr>
          <w:p w14:paraId="26EDD6D8" w14:textId="77777777" w:rsidR="00CD7CF9" w:rsidRPr="00CD7CF9" w:rsidRDefault="00CD7CF9" w:rsidP="00E2310D">
            <w:pPr>
              <w:keepNext/>
              <w:jc w:val="center"/>
              <w:rPr>
                <w:rFonts w:cs="Calibri"/>
                <w:b/>
                <w:bCs/>
                <w:color w:val="FFFFFF"/>
                <w:sz w:val="22"/>
                <w:szCs w:val="22"/>
              </w:rPr>
            </w:pPr>
            <w:r w:rsidRPr="00CD7CF9">
              <w:rPr>
                <w:rFonts w:cs="Calibri"/>
                <w:b/>
                <w:bCs/>
                <w:color w:val="FFFFFF"/>
                <w:sz w:val="22"/>
                <w:szCs w:val="22"/>
              </w:rPr>
              <w:t>Month</w:t>
            </w:r>
          </w:p>
        </w:tc>
        <w:tc>
          <w:tcPr>
            <w:tcW w:w="960" w:type="dxa"/>
            <w:tcBorders>
              <w:top w:val="nil"/>
              <w:left w:val="nil"/>
              <w:bottom w:val="single" w:sz="4" w:space="0" w:color="auto"/>
              <w:right w:val="single" w:sz="4" w:space="0" w:color="FFFFFF"/>
            </w:tcBorders>
            <w:shd w:val="clear" w:color="auto" w:fill="0C2577"/>
            <w:vAlign w:val="bottom"/>
            <w:hideMark/>
          </w:tcPr>
          <w:p w14:paraId="0D57F57D" w14:textId="77777777" w:rsidR="00CD7CF9" w:rsidRPr="00CD7CF9" w:rsidRDefault="00CD7CF9" w:rsidP="00E2310D">
            <w:pPr>
              <w:keepNext/>
              <w:jc w:val="center"/>
              <w:rPr>
                <w:rFonts w:cs="Calibri"/>
                <w:b/>
                <w:bCs/>
                <w:color w:val="FFFFFF"/>
                <w:sz w:val="22"/>
                <w:szCs w:val="22"/>
              </w:rPr>
            </w:pPr>
            <w:r w:rsidRPr="00CD7CF9">
              <w:rPr>
                <w:rFonts w:cs="Calibri"/>
                <w:b/>
                <w:bCs/>
                <w:color w:val="FFFFFF"/>
                <w:sz w:val="22"/>
                <w:szCs w:val="22"/>
              </w:rPr>
              <w:t>Climate Zone</w:t>
            </w:r>
          </w:p>
        </w:tc>
        <w:tc>
          <w:tcPr>
            <w:tcW w:w="960" w:type="dxa"/>
            <w:tcBorders>
              <w:top w:val="nil"/>
              <w:left w:val="nil"/>
              <w:bottom w:val="single" w:sz="4" w:space="0" w:color="auto"/>
              <w:right w:val="single" w:sz="4" w:space="0" w:color="FFFFFF"/>
            </w:tcBorders>
            <w:shd w:val="clear" w:color="auto" w:fill="0C2577"/>
            <w:vAlign w:val="bottom"/>
            <w:hideMark/>
          </w:tcPr>
          <w:p w14:paraId="027167CC" w14:textId="77777777" w:rsidR="00CD7CF9" w:rsidRPr="00CD7CF9" w:rsidRDefault="00CD7CF9" w:rsidP="00E2310D">
            <w:pPr>
              <w:keepNext/>
              <w:jc w:val="center"/>
              <w:rPr>
                <w:rFonts w:cs="Calibri"/>
                <w:b/>
                <w:bCs/>
                <w:color w:val="FFFFFF"/>
                <w:sz w:val="22"/>
                <w:szCs w:val="22"/>
              </w:rPr>
            </w:pPr>
            <w:r w:rsidRPr="00CD7CF9">
              <w:rPr>
                <w:rFonts w:cs="Calibri"/>
                <w:b/>
                <w:bCs/>
                <w:color w:val="FFFFFF"/>
                <w:sz w:val="22"/>
                <w:szCs w:val="22"/>
              </w:rPr>
              <w:t>Enrolled</w:t>
            </w:r>
          </w:p>
        </w:tc>
        <w:tc>
          <w:tcPr>
            <w:tcW w:w="960" w:type="dxa"/>
            <w:tcBorders>
              <w:top w:val="single" w:sz="4" w:space="0" w:color="FFFFFF"/>
              <w:left w:val="nil"/>
              <w:bottom w:val="single" w:sz="4" w:space="0" w:color="auto"/>
              <w:right w:val="nil"/>
            </w:tcBorders>
            <w:shd w:val="clear" w:color="auto" w:fill="0C2577"/>
            <w:vAlign w:val="bottom"/>
            <w:hideMark/>
          </w:tcPr>
          <w:p w14:paraId="53A7B71A" w14:textId="77777777" w:rsidR="00CD7CF9" w:rsidRPr="00CD7CF9" w:rsidRDefault="00CD7CF9" w:rsidP="00E2310D">
            <w:pPr>
              <w:keepNext/>
              <w:jc w:val="center"/>
              <w:rPr>
                <w:rFonts w:cs="Calibri"/>
                <w:b/>
                <w:bCs/>
                <w:color w:val="FFFFFF"/>
                <w:sz w:val="22"/>
                <w:szCs w:val="22"/>
              </w:rPr>
            </w:pPr>
            <w:r w:rsidRPr="00CD7CF9">
              <w:rPr>
                <w:rFonts w:cs="Calibri"/>
                <w:b/>
                <w:bCs/>
                <w:color w:val="FFFFFF"/>
                <w:sz w:val="22"/>
                <w:szCs w:val="22"/>
              </w:rPr>
              <w:t>Peak Ref. Load (MWh/h)</w:t>
            </w:r>
          </w:p>
        </w:tc>
        <w:tc>
          <w:tcPr>
            <w:tcW w:w="1000" w:type="dxa"/>
            <w:tcBorders>
              <w:top w:val="single" w:sz="4" w:space="0" w:color="FFFFFF"/>
              <w:left w:val="nil"/>
              <w:bottom w:val="single" w:sz="4" w:space="0" w:color="auto"/>
              <w:right w:val="single" w:sz="4" w:space="0" w:color="FFFFFF"/>
            </w:tcBorders>
            <w:shd w:val="clear" w:color="auto" w:fill="0C2577"/>
            <w:vAlign w:val="bottom"/>
            <w:hideMark/>
          </w:tcPr>
          <w:p w14:paraId="642850EA" w14:textId="77777777" w:rsidR="00CD7CF9" w:rsidRPr="00CD7CF9" w:rsidRDefault="00CD7CF9" w:rsidP="00E2310D">
            <w:pPr>
              <w:keepNext/>
              <w:jc w:val="center"/>
              <w:rPr>
                <w:rFonts w:cs="Calibri"/>
                <w:b/>
                <w:bCs/>
                <w:color w:val="FFFFFF"/>
                <w:sz w:val="22"/>
                <w:szCs w:val="22"/>
              </w:rPr>
            </w:pPr>
            <w:r w:rsidRPr="00CD7CF9">
              <w:rPr>
                <w:rFonts w:cs="Calibri"/>
                <w:b/>
                <w:bCs/>
                <w:color w:val="FFFFFF"/>
                <w:sz w:val="22"/>
                <w:szCs w:val="22"/>
              </w:rPr>
              <w:t>Peak Load Impact (MWh/h)</w:t>
            </w:r>
          </w:p>
        </w:tc>
        <w:tc>
          <w:tcPr>
            <w:tcW w:w="960" w:type="dxa"/>
            <w:tcBorders>
              <w:top w:val="single" w:sz="4" w:space="0" w:color="FFFFFF"/>
              <w:left w:val="nil"/>
              <w:bottom w:val="single" w:sz="4" w:space="0" w:color="auto"/>
              <w:right w:val="nil"/>
            </w:tcBorders>
            <w:shd w:val="clear" w:color="auto" w:fill="0C2577"/>
            <w:vAlign w:val="bottom"/>
            <w:hideMark/>
          </w:tcPr>
          <w:p w14:paraId="79B50422" w14:textId="77777777" w:rsidR="00CD7CF9" w:rsidRPr="00CD7CF9" w:rsidRDefault="00CD7CF9" w:rsidP="00E2310D">
            <w:pPr>
              <w:keepNext/>
              <w:jc w:val="center"/>
              <w:rPr>
                <w:rFonts w:cs="Calibri"/>
                <w:b/>
                <w:bCs/>
                <w:color w:val="FFFFFF"/>
                <w:sz w:val="22"/>
                <w:szCs w:val="22"/>
              </w:rPr>
            </w:pPr>
            <w:r w:rsidRPr="00CD7CF9">
              <w:rPr>
                <w:rFonts w:cs="Calibri"/>
                <w:b/>
                <w:bCs/>
                <w:color w:val="FFFFFF"/>
                <w:sz w:val="22"/>
                <w:szCs w:val="22"/>
              </w:rPr>
              <w:t>Peak Ref. Load (kWh/h)</w:t>
            </w:r>
          </w:p>
        </w:tc>
        <w:tc>
          <w:tcPr>
            <w:tcW w:w="960" w:type="dxa"/>
            <w:tcBorders>
              <w:top w:val="single" w:sz="4" w:space="0" w:color="FFFFFF"/>
              <w:left w:val="nil"/>
              <w:bottom w:val="single" w:sz="4" w:space="0" w:color="auto"/>
              <w:right w:val="single" w:sz="4" w:space="0" w:color="FFFFFF"/>
            </w:tcBorders>
            <w:shd w:val="clear" w:color="auto" w:fill="0C2577"/>
            <w:vAlign w:val="bottom"/>
            <w:hideMark/>
          </w:tcPr>
          <w:p w14:paraId="306C9878" w14:textId="77777777" w:rsidR="00CD7CF9" w:rsidRPr="00CD7CF9" w:rsidRDefault="00CD7CF9" w:rsidP="00E2310D">
            <w:pPr>
              <w:keepNext/>
              <w:jc w:val="center"/>
              <w:rPr>
                <w:rFonts w:cs="Calibri"/>
                <w:b/>
                <w:bCs/>
                <w:color w:val="FFFFFF"/>
                <w:sz w:val="22"/>
                <w:szCs w:val="22"/>
              </w:rPr>
            </w:pPr>
            <w:r w:rsidRPr="00CD7CF9">
              <w:rPr>
                <w:rFonts w:cs="Calibri"/>
                <w:b/>
                <w:bCs/>
                <w:color w:val="FFFFFF"/>
                <w:sz w:val="22"/>
                <w:szCs w:val="22"/>
              </w:rPr>
              <w:t>Peak Load Impact (kWh/h)</w:t>
            </w:r>
          </w:p>
        </w:tc>
        <w:tc>
          <w:tcPr>
            <w:tcW w:w="960" w:type="dxa"/>
            <w:tcBorders>
              <w:top w:val="nil"/>
              <w:left w:val="nil"/>
              <w:bottom w:val="nil"/>
              <w:right w:val="nil"/>
            </w:tcBorders>
            <w:shd w:val="clear" w:color="auto" w:fill="0C2577"/>
            <w:vAlign w:val="bottom"/>
            <w:hideMark/>
          </w:tcPr>
          <w:p w14:paraId="512200D8" w14:textId="77777777" w:rsidR="00CD7CF9" w:rsidRPr="00CD7CF9" w:rsidRDefault="00CD7CF9" w:rsidP="00E2310D">
            <w:pPr>
              <w:keepNext/>
              <w:jc w:val="center"/>
              <w:rPr>
                <w:rFonts w:cs="Calibri"/>
                <w:b/>
                <w:bCs/>
                <w:color w:val="FFFFFF"/>
                <w:sz w:val="22"/>
                <w:szCs w:val="22"/>
              </w:rPr>
            </w:pPr>
            <w:r w:rsidRPr="00CD7CF9">
              <w:rPr>
                <w:rFonts w:cs="Calibri"/>
                <w:b/>
                <w:bCs/>
                <w:color w:val="FFFFFF"/>
                <w:sz w:val="22"/>
                <w:szCs w:val="22"/>
              </w:rPr>
              <w:t>% Peak Load Impact</w:t>
            </w:r>
          </w:p>
        </w:tc>
        <w:tc>
          <w:tcPr>
            <w:tcW w:w="960" w:type="dxa"/>
            <w:tcBorders>
              <w:top w:val="nil"/>
              <w:left w:val="single" w:sz="4" w:space="0" w:color="FFFFFF"/>
              <w:bottom w:val="single" w:sz="4" w:space="0" w:color="auto"/>
              <w:right w:val="single" w:sz="4" w:space="0" w:color="auto"/>
            </w:tcBorders>
            <w:shd w:val="clear" w:color="auto" w:fill="0C2577"/>
            <w:vAlign w:val="bottom"/>
            <w:hideMark/>
          </w:tcPr>
          <w:p w14:paraId="208742BA" w14:textId="77777777" w:rsidR="00CD7CF9" w:rsidRPr="00CD7CF9" w:rsidRDefault="00CD7CF9" w:rsidP="00E2310D">
            <w:pPr>
              <w:keepNext/>
              <w:jc w:val="center"/>
              <w:rPr>
                <w:rFonts w:cs="Calibri"/>
                <w:b/>
                <w:bCs/>
                <w:color w:val="FFFFFF"/>
                <w:sz w:val="22"/>
                <w:szCs w:val="22"/>
              </w:rPr>
            </w:pPr>
            <w:r w:rsidRPr="00CD7CF9">
              <w:rPr>
                <w:rFonts w:cs="Calibri"/>
                <w:b/>
                <w:bCs/>
                <w:color w:val="FFFFFF"/>
                <w:sz w:val="22"/>
                <w:szCs w:val="22"/>
              </w:rPr>
              <w:t>Ave. Peak Temp.</w:t>
            </w:r>
          </w:p>
        </w:tc>
      </w:tr>
      <w:tr w:rsidR="00CD7CF9" w:rsidRPr="00CD7CF9" w14:paraId="4051699D" w14:textId="77777777" w:rsidTr="00CD7CF9">
        <w:trPr>
          <w:trHeight w:val="300"/>
          <w:jc w:val="center"/>
        </w:trPr>
        <w:tc>
          <w:tcPr>
            <w:tcW w:w="1200" w:type="dxa"/>
            <w:tcBorders>
              <w:top w:val="nil"/>
              <w:left w:val="single" w:sz="4" w:space="0" w:color="auto"/>
              <w:bottom w:val="single" w:sz="4" w:space="0" w:color="auto"/>
              <w:right w:val="nil"/>
            </w:tcBorders>
            <w:shd w:val="clear" w:color="000000" w:fill="FFFFFF"/>
            <w:noWrap/>
            <w:vAlign w:val="bottom"/>
            <w:hideMark/>
          </w:tcPr>
          <w:p w14:paraId="22BE94B5" w14:textId="77777777" w:rsidR="00CD7CF9" w:rsidRPr="00CD7CF9" w:rsidRDefault="00CD7CF9" w:rsidP="00E2310D">
            <w:pPr>
              <w:keepNext/>
              <w:ind w:firstLineChars="100" w:firstLine="220"/>
              <w:jc w:val="right"/>
              <w:rPr>
                <w:rFonts w:cs="Calibri"/>
                <w:sz w:val="22"/>
                <w:szCs w:val="22"/>
              </w:rPr>
            </w:pPr>
            <w:r w:rsidRPr="00CD7CF9">
              <w:rPr>
                <w:rFonts w:cs="Calibri"/>
                <w:sz w:val="22"/>
                <w:szCs w:val="22"/>
              </w:rPr>
              <w:t>Oct-16</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045B9955" w14:textId="77777777" w:rsidR="00CD7CF9" w:rsidRPr="00CD7CF9" w:rsidRDefault="00CD7CF9" w:rsidP="00E2310D">
            <w:pPr>
              <w:keepNext/>
              <w:jc w:val="center"/>
              <w:rPr>
                <w:rFonts w:cs="Calibri"/>
                <w:sz w:val="22"/>
                <w:szCs w:val="22"/>
              </w:rPr>
            </w:pPr>
            <w:r w:rsidRPr="00CD7CF9">
              <w:rPr>
                <w:rFonts w:cs="Calibri"/>
                <w:sz w:val="22"/>
                <w:szCs w:val="22"/>
              </w:rPr>
              <w:t>All</w:t>
            </w:r>
          </w:p>
        </w:tc>
        <w:tc>
          <w:tcPr>
            <w:tcW w:w="960" w:type="dxa"/>
            <w:tcBorders>
              <w:top w:val="nil"/>
              <w:left w:val="nil"/>
              <w:bottom w:val="single" w:sz="4" w:space="0" w:color="auto"/>
              <w:right w:val="nil"/>
            </w:tcBorders>
            <w:shd w:val="clear" w:color="000000" w:fill="FFFFFF"/>
            <w:noWrap/>
            <w:vAlign w:val="bottom"/>
            <w:hideMark/>
          </w:tcPr>
          <w:p w14:paraId="49160E1F" w14:textId="77777777" w:rsidR="00CD7CF9" w:rsidRPr="00CD7CF9" w:rsidRDefault="00CD7CF9" w:rsidP="00E2310D">
            <w:pPr>
              <w:keepNext/>
              <w:ind w:firstLineChars="100" w:firstLine="220"/>
              <w:jc w:val="right"/>
              <w:rPr>
                <w:rFonts w:cs="Calibri"/>
                <w:sz w:val="22"/>
                <w:szCs w:val="22"/>
              </w:rPr>
            </w:pPr>
            <w:r w:rsidRPr="00CD7CF9">
              <w:rPr>
                <w:rFonts w:cs="Calibri"/>
                <w:sz w:val="22"/>
                <w:szCs w:val="22"/>
              </w:rPr>
              <w:t>653</w:t>
            </w:r>
          </w:p>
        </w:tc>
        <w:tc>
          <w:tcPr>
            <w:tcW w:w="960" w:type="dxa"/>
            <w:tcBorders>
              <w:top w:val="nil"/>
              <w:left w:val="single" w:sz="4" w:space="0" w:color="auto"/>
              <w:bottom w:val="single" w:sz="4" w:space="0" w:color="auto"/>
              <w:right w:val="nil"/>
            </w:tcBorders>
            <w:shd w:val="clear" w:color="000000" w:fill="FFFFFF"/>
            <w:noWrap/>
            <w:vAlign w:val="bottom"/>
            <w:hideMark/>
          </w:tcPr>
          <w:p w14:paraId="6E289699" w14:textId="77777777" w:rsidR="00CD7CF9" w:rsidRPr="00CD7CF9" w:rsidRDefault="00CD7CF9" w:rsidP="00E2310D">
            <w:pPr>
              <w:keepNext/>
              <w:jc w:val="center"/>
              <w:rPr>
                <w:rFonts w:cs="Calibri"/>
                <w:sz w:val="22"/>
                <w:szCs w:val="22"/>
              </w:rPr>
            </w:pPr>
            <w:r w:rsidRPr="00CD7CF9">
              <w:rPr>
                <w:rFonts w:cs="Calibri"/>
                <w:sz w:val="22"/>
                <w:szCs w:val="22"/>
              </w:rPr>
              <w:t>0.47</w:t>
            </w:r>
          </w:p>
        </w:tc>
        <w:tc>
          <w:tcPr>
            <w:tcW w:w="1000" w:type="dxa"/>
            <w:tcBorders>
              <w:top w:val="nil"/>
              <w:left w:val="nil"/>
              <w:bottom w:val="single" w:sz="4" w:space="0" w:color="auto"/>
              <w:right w:val="single" w:sz="4" w:space="0" w:color="auto"/>
            </w:tcBorders>
            <w:shd w:val="clear" w:color="000000" w:fill="FFFFFF"/>
            <w:noWrap/>
            <w:vAlign w:val="bottom"/>
            <w:hideMark/>
          </w:tcPr>
          <w:p w14:paraId="26265588" w14:textId="77777777" w:rsidR="00CD7CF9" w:rsidRPr="00CD7CF9" w:rsidRDefault="00CD7CF9" w:rsidP="00E2310D">
            <w:pPr>
              <w:keepNext/>
              <w:jc w:val="center"/>
              <w:rPr>
                <w:rFonts w:cs="Calibri"/>
                <w:sz w:val="22"/>
                <w:szCs w:val="22"/>
              </w:rPr>
            </w:pPr>
            <w:r w:rsidRPr="00CD7CF9">
              <w:rPr>
                <w:rFonts w:cs="Calibri"/>
                <w:sz w:val="22"/>
                <w:szCs w:val="22"/>
              </w:rPr>
              <w:t>0.03</w:t>
            </w:r>
          </w:p>
        </w:tc>
        <w:tc>
          <w:tcPr>
            <w:tcW w:w="960" w:type="dxa"/>
            <w:tcBorders>
              <w:top w:val="nil"/>
              <w:left w:val="nil"/>
              <w:bottom w:val="single" w:sz="4" w:space="0" w:color="auto"/>
              <w:right w:val="nil"/>
            </w:tcBorders>
            <w:shd w:val="clear" w:color="000000" w:fill="FFFFFF"/>
            <w:noWrap/>
            <w:vAlign w:val="bottom"/>
            <w:hideMark/>
          </w:tcPr>
          <w:p w14:paraId="27AC1641" w14:textId="77777777" w:rsidR="00CD7CF9" w:rsidRPr="00CD7CF9" w:rsidRDefault="00CD7CF9" w:rsidP="00E2310D">
            <w:pPr>
              <w:keepNext/>
              <w:jc w:val="center"/>
              <w:rPr>
                <w:rFonts w:cs="Calibri"/>
                <w:sz w:val="22"/>
                <w:szCs w:val="22"/>
              </w:rPr>
            </w:pPr>
            <w:r w:rsidRPr="00CD7CF9">
              <w:rPr>
                <w:rFonts w:cs="Calibri"/>
                <w:sz w:val="22"/>
                <w:szCs w:val="22"/>
              </w:rPr>
              <w:t>0.71</w:t>
            </w:r>
          </w:p>
        </w:tc>
        <w:tc>
          <w:tcPr>
            <w:tcW w:w="960" w:type="dxa"/>
            <w:tcBorders>
              <w:top w:val="nil"/>
              <w:left w:val="nil"/>
              <w:bottom w:val="single" w:sz="4" w:space="0" w:color="auto"/>
              <w:right w:val="nil"/>
            </w:tcBorders>
            <w:shd w:val="clear" w:color="000000" w:fill="FFFFFF"/>
            <w:noWrap/>
            <w:vAlign w:val="bottom"/>
            <w:hideMark/>
          </w:tcPr>
          <w:p w14:paraId="0FDE78E8" w14:textId="77777777" w:rsidR="00CD7CF9" w:rsidRPr="00CD7CF9" w:rsidRDefault="00CD7CF9" w:rsidP="00E2310D">
            <w:pPr>
              <w:keepNext/>
              <w:jc w:val="center"/>
              <w:rPr>
                <w:rFonts w:cs="Calibri"/>
                <w:sz w:val="22"/>
                <w:szCs w:val="22"/>
              </w:rPr>
            </w:pPr>
            <w:r w:rsidRPr="00CD7CF9">
              <w:rPr>
                <w:rFonts w:cs="Calibri"/>
                <w:sz w:val="22"/>
                <w:szCs w:val="22"/>
              </w:rPr>
              <w:t>0.042</w:t>
            </w:r>
          </w:p>
        </w:tc>
        <w:tc>
          <w:tcPr>
            <w:tcW w:w="9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D12615" w14:textId="77777777" w:rsidR="00CD7CF9" w:rsidRPr="00CD7CF9" w:rsidRDefault="00CD7CF9" w:rsidP="00E2310D">
            <w:pPr>
              <w:keepNext/>
              <w:jc w:val="center"/>
              <w:rPr>
                <w:rFonts w:cs="Calibri"/>
                <w:sz w:val="22"/>
                <w:szCs w:val="22"/>
              </w:rPr>
            </w:pPr>
            <w:r w:rsidRPr="00CD7CF9">
              <w:rPr>
                <w:rFonts w:cs="Calibri"/>
                <w:sz w:val="22"/>
                <w:szCs w:val="22"/>
              </w:rPr>
              <w:t>6.0%</w:t>
            </w:r>
          </w:p>
        </w:tc>
        <w:tc>
          <w:tcPr>
            <w:tcW w:w="960" w:type="dxa"/>
            <w:tcBorders>
              <w:top w:val="nil"/>
              <w:left w:val="nil"/>
              <w:bottom w:val="single" w:sz="4" w:space="0" w:color="auto"/>
              <w:right w:val="single" w:sz="4" w:space="0" w:color="auto"/>
            </w:tcBorders>
            <w:shd w:val="clear" w:color="000000" w:fill="FFFFFF"/>
            <w:noWrap/>
            <w:vAlign w:val="bottom"/>
            <w:hideMark/>
          </w:tcPr>
          <w:p w14:paraId="46AEF09C" w14:textId="77777777" w:rsidR="00CD7CF9" w:rsidRPr="00CD7CF9" w:rsidRDefault="00CD7CF9" w:rsidP="00E2310D">
            <w:pPr>
              <w:keepNext/>
              <w:jc w:val="center"/>
              <w:rPr>
                <w:rFonts w:cs="Calibri"/>
                <w:sz w:val="22"/>
                <w:szCs w:val="22"/>
              </w:rPr>
            </w:pPr>
            <w:r w:rsidRPr="00CD7CF9">
              <w:rPr>
                <w:rFonts w:cs="Calibri"/>
                <w:sz w:val="22"/>
                <w:szCs w:val="22"/>
              </w:rPr>
              <w:t>76</w:t>
            </w:r>
          </w:p>
        </w:tc>
      </w:tr>
      <w:tr w:rsidR="00CD7CF9" w:rsidRPr="00CD7CF9" w14:paraId="64D591F8" w14:textId="77777777" w:rsidTr="00CD7CF9">
        <w:trPr>
          <w:trHeight w:val="300"/>
          <w:jc w:val="center"/>
        </w:trPr>
        <w:tc>
          <w:tcPr>
            <w:tcW w:w="1200" w:type="dxa"/>
            <w:tcBorders>
              <w:top w:val="nil"/>
              <w:left w:val="single" w:sz="4" w:space="0" w:color="auto"/>
              <w:bottom w:val="nil"/>
              <w:right w:val="nil"/>
            </w:tcBorders>
            <w:shd w:val="clear" w:color="000000" w:fill="D9E1F2"/>
            <w:noWrap/>
            <w:vAlign w:val="bottom"/>
            <w:hideMark/>
          </w:tcPr>
          <w:p w14:paraId="0E4D76D1" w14:textId="77777777" w:rsidR="00CD7CF9" w:rsidRPr="00CD7CF9" w:rsidRDefault="00CD7CF9" w:rsidP="00E2310D">
            <w:pPr>
              <w:keepNext/>
              <w:ind w:firstLineChars="100" w:firstLine="220"/>
              <w:jc w:val="right"/>
              <w:rPr>
                <w:rFonts w:cs="Calibri"/>
                <w:sz w:val="22"/>
                <w:szCs w:val="22"/>
              </w:rPr>
            </w:pPr>
            <w:r w:rsidRPr="00CD7CF9">
              <w:rPr>
                <w:rFonts w:cs="Calibri"/>
                <w:sz w:val="22"/>
                <w:szCs w:val="22"/>
              </w:rPr>
              <w:t>Nov-16</w:t>
            </w:r>
          </w:p>
        </w:tc>
        <w:tc>
          <w:tcPr>
            <w:tcW w:w="960" w:type="dxa"/>
            <w:tcBorders>
              <w:top w:val="nil"/>
              <w:left w:val="single" w:sz="4" w:space="0" w:color="auto"/>
              <w:bottom w:val="nil"/>
              <w:right w:val="single" w:sz="4" w:space="0" w:color="auto"/>
            </w:tcBorders>
            <w:shd w:val="clear" w:color="000000" w:fill="D9E1F2"/>
            <w:noWrap/>
            <w:vAlign w:val="bottom"/>
            <w:hideMark/>
          </w:tcPr>
          <w:p w14:paraId="4CD3EE0A" w14:textId="77777777" w:rsidR="00CD7CF9" w:rsidRPr="00CD7CF9" w:rsidRDefault="00CD7CF9" w:rsidP="00E2310D">
            <w:pPr>
              <w:keepNext/>
              <w:jc w:val="center"/>
              <w:rPr>
                <w:rFonts w:cs="Calibri"/>
                <w:sz w:val="22"/>
                <w:szCs w:val="22"/>
              </w:rPr>
            </w:pPr>
            <w:r w:rsidRPr="00CD7CF9">
              <w:rPr>
                <w:rFonts w:cs="Calibri"/>
                <w:sz w:val="22"/>
                <w:szCs w:val="22"/>
              </w:rPr>
              <w:t>All</w:t>
            </w:r>
          </w:p>
        </w:tc>
        <w:tc>
          <w:tcPr>
            <w:tcW w:w="960" w:type="dxa"/>
            <w:tcBorders>
              <w:top w:val="nil"/>
              <w:left w:val="nil"/>
              <w:bottom w:val="nil"/>
              <w:right w:val="nil"/>
            </w:tcBorders>
            <w:shd w:val="clear" w:color="000000" w:fill="D9E1F2"/>
            <w:noWrap/>
            <w:vAlign w:val="bottom"/>
            <w:hideMark/>
          </w:tcPr>
          <w:p w14:paraId="795FE5B9" w14:textId="77777777" w:rsidR="00CD7CF9" w:rsidRPr="00CD7CF9" w:rsidRDefault="00CD7CF9" w:rsidP="00E2310D">
            <w:pPr>
              <w:keepNext/>
              <w:ind w:firstLineChars="100" w:firstLine="220"/>
              <w:jc w:val="right"/>
              <w:rPr>
                <w:rFonts w:cs="Calibri"/>
                <w:sz w:val="22"/>
                <w:szCs w:val="22"/>
              </w:rPr>
            </w:pPr>
            <w:r w:rsidRPr="00CD7CF9">
              <w:rPr>
                <w:rFonts w:cs="Calibri"/>
                <w:sz w:val="22"/>
                <w:szCs w:val="22"/>
              </w:rPr>
              <w:t>689</w:t>
            </w:r>
          </w:p>
        </w:tc>
        <w:tc>
          <w:tcPr>
            <w:tcW w:w="960" w:type="dxa"/>
            <w:tcBorders>
              <w:top w:val="nil"/>
              <w:left w:val="single" w:sz="4" w:space="0" w:color="auto"/>
              <w:bottom w:val="nil"/>
              <w:right w:val="nil"/>
            </w:tcBorders>
            <w:shd w:val="clear" w:color="000000" w:fill="D9E1F2"/>
            <w:noWrap/>
            <w:vAlign w:val="bottom"/>
            <w:hideMark/>
          </w:tcPr>
          <w:p w14:paraId="6EFCE037" w14:textId="77777777" w:rsidR="00CD7CF9" w:rsidRPr="00CD7CF9" w:rsidRDefault="00CD7CF9" w:rsidP="00E2310D">
            <w:pPr>
              <w:keepNext/>
              <w:jc w:val="center"/>
              <w:rPr>
                <w:rFonts w:cs="Calibri"/>
                <w:sz w:val="22"/>
                <w:szCs w:val="22"/>
              </w:rPr>
            </w:pPr>
            <w:r w:rsidRPr="00CD7CF9">
              <w:rPr>
                <w:rFonts w:cs="Calibri"/>
                <w:sz w:val="22"/>
                <w:szCs w:val="22"/>
              </w:rPr>
              <w:t>0.71</w:t>
            </w:r>
          </w:p>
        </w:tc>
        <w:tc>
          <w:tcPr>
            <w:tcW w:w="1000" w:type="dxa"/>
            <w:tcBorders>
              <w:top w:val="nil"/>
              <w:left w:val="nil"/>
              <w:bottom w:val="nil"/>
              <w:right w:val="single" w:sz="4" w:space="0" w:color="auto"/>
            </w:tcBorders>
            <w:shd w:val="clear" w:color="000000" w:fill="D9E1F2"/>
            <w:noWrap/>
            <w:vAlign w:val="bottom"/>
            <w:hideMark/>
          </w:tcPr>
          <w:p w14:paraId="7632A17A" w14:textId="77777777" w:rsidR="00CD7CF9" w:rsidRPr="00CD7CF9" w:rsidRDefault="00CD7CF9" w:rsidP="00E2310D">
            <w:pPr>
              <w:keepNext/>
              <w:jc w:val="center"/>
              <w:rPr>
                <w:rFonts w:cs="Calibri"/>
                <w:sz w:val="22"/>
                <w:szCs w:val="22"/>
              </w:rPr>
            </w:pPr>
            <w:r w:rsidRPr="00CD7CF9">
              <w:rPr>
                <w:rFonts w:cs="Calibri"/>
                <w:sz w:val="22"/>
                <w:szCs w:val="22"/>
              </w:rPr>
              <w:t>-0.02</w:t>
            </w:r>
          </w:p>
        </w:tc>
        <w:tc>
          <w:tcPr>
            <w:tcW w:w="960" w:type="dxa"/>
            <w:tcBorders>
              <w:top w:val="nil"/>
              <w:left w:val="nil"/>
              <w:bottom w:val="nil"/>
              <w:right w:val="nil"/>
            </w:tcBorders>
            <w:shd w:val="clear" w:color="000000" w:fill="D9E1F2"/>
            <w:noWrap/>
            <w:vAlign w:val="bottom"/>
            <w:hideMark/>
          </w:tcPr>
          <w:p w14:paraId="0F69BD22" w14:textId="77777777" w:rsidR="00CD7CF9" w:rsidRPr="00CD7CF9" w:rsidRDefault="00CD7CF9" w:rsidP="00E2310D">
            <w:pPr>
              <w:keepNext/>
              <w:jc w:val="center"/>
              <w:rPr>
                <w:rFonts w:cs="Calibri"/>
                <w:sz w:val="22"/>
                <w:szCs w:val="22"/>
              </w:rPr>
            </w:pPr>
            <w:r w:rsidRPr="00CD7CF9">
              <w:rPr>
                <w:rFonts w:cs="Calibri"/>
                <w:sz w:val="22"/>
                <w:szCs w:val="22"/>
              </w:rPr>
              <w:t>1.03</w:t>
            </w:r>
          </w:p>
        </w:tc>
        <w:tc>
          <w:tcPr>
            <w:tcW w:w="960" w:type="dxa"/>
            <w:tcBorders>
              <w:top w:val="nil"/>
              <w:left w:val="nil"/>
              <w:bottom w:val="nil"/>
              <w:right w:val="nil"/>
            </w:tcBorders>
            <w:shd w:val="clear" w:color="000000" w:fill="D9E1F2"/>
            <w:noWrap/>
            <w:vAlign w:val="bottom"/>
            <w:hideMark/>
          </w:tcPr>
          <w:p w14:paraId="668985E9" w14:textId="77777777" w:rsidR="00CD7CF9" w:rsidRPr="00CD7CF9" w:rsidRDefault="00CD7CF9" w:rsidP="00E2310D">
            <w:pPr>
              <w:keepNext/>
              <w:jc w:val="center"/>
              <w:rPr>
                <w:rFonts w:cs="Calibri"/>
                <w:sz w:val="22"/>
                <w:szCs w:val="22"/>
              </w:rPr>
            </w:pPr>
            <w:r w:rsidRPr="00CD7CF9">
              <w:rPr>
                <w:rFonts w:cs="Calibri"/>
                <w:sz w:val="22"/>
                <w:szCs w:val="22"/>
              </w:rPr>
              <w:t>-0.031</w:t>
            </w:r>
          </w:p>
        </w:tc>
        <w:tc>
          <w:tcPr>
            <w:tcW w:w="960" w:type="dxa"/>
            <w:tcBorders>
              <w:top w:val="nil"/>
              <w:left w:val="single" w:sz="4" w:space="0" w:color="auto"/>
              <w:bottom w:val="nil"/>
              <w:right w:val="single" w:sz="4" w:space="0" w:color="auto"/>
            </w:tcBorders>
            <w:shd w:val="clear" w:color="000000" w:fill="D9E1F2"/>
            <w:noWrap/>
            <w:vAlign w:val="bottom"/>
            <w:hideMark/>
          </w:tcPr>
          <w:p w14:paraId="44E31D34" w14:textId="77777777" w:rsidR="00CD7CF9" w:rsidRPr="00CD7CF9" w:rsidRDefault="00CD7CF9" w:rsidP="00E2310D">
            <w:pPr>
              <w:keepNext/>
              <w:jc w:val="center"/>
              <w:rPr>
                <w:rFonts w:cs="Calibri"/>
                <w:sz w:val="22"/>
                <w:szCs w:val="22"/>
              </w:rPr>
            </w:pPr>
            <w:r w:rsidRPr="00CD7CF9">
              <w:rPr>
                <w:rFonts w:cs="Calibri"/>
                <w:sz w:val="22"/>
                <w:szCs w:val="22"/>
              </w:rPr>
              <w:t>-3.0%</w:t>
            </w:r>
          </w:p>
        </w:tc>
        <w:tc>
          <w:tcPr>
            <w:tcW w:w="960" w:type="dxa"/>
            <w:tcBorders>
              <w:top w:val="nil"/>
              <w:left w:val="nil"/>
              <w:bottom w:val="nil"/>
              <w:right w:val="single" w:sz="4" w:space="0" w:color="auto"/>
            </w:tcBorders>
            <w:shd w:val="clear" w:color="000000" w:fill="D9E1F2"/>
            <w:noWrap/>
            <w:vAlign w:val="bottom"/>
            <w:hideMark/>
          </w:tcPr>
          <w:p w14:paraId="57E41A66" w14:textId="77777777" w:rsidR="00CD7CF9" w:rsidRPr="00CD7CF9" w:rsidRDefault="00CD7CF9" w:rsidP="00E2310D">
            <w:pPr>
              <w:keepNext/>
              <w:jc w:val="center"/>
              <w:rPr>
                <w:rFonts w:cs="Calibri"/>
                <w:sz w:val="22"/>
                <w:szCs w:val="22"/>
              </w:rPr>
            </w:pPr>
            <w:r w:rsidRPr="00CD7CF9">
              <w:rPr>
                <w:rFonts w:cs="Calibri"/>
                <w:sz w:val="22"/>
                <w:szCs w:val="22"/>
              </w:rPr>
              <w:t>65</w:t>
            </w:r>
          </w:p>
        </w:tc>
      </w:tr>
      <w:tr w:rsidR="00CD7CF9" w:rsidRPr="00CD7CF9" w14:paraId="27EC46AD" w14:textId="77777777" w:rsidTr="00CD7CF9">
        <w:trPr>
          <w:trHeight w:val="315"/>
          <w:jc w:val="center"/>
        </w:trPr>
        <w:tc>
          <w:tcPr>
            <w:tcW w:w="1200" w:type="dxa"/>
            <w:tcBorders>
              <w:top w:val="nil"/>
              <w:left w:val="single" w:sz="4" w:space="0" w:color="auto"/>
              <w:bottom w:val="nil"/>
              <w:right w:val="nil"/>
            </w:tcBorders>
            <w:shd w:val="clear" w:color="000000" w:fill="D9E1F2"/>
            <w:noWrap/>
            <w:vAlign w:val="bottom"/>
            <w:hideMark/>
          </w:tcPr>
          <w:p w14:paraId="704DCBE8" w14:textId="77777777" w:rsidR="00CD7CF9" w:rsidRPr="00CD7CF9" w:rsidRDefault="00CD7CF9" w:rsidP="00E2310D">
            <w:pPr>
              <w:keepNext/>
              <w:ind w:firstLineChars="100" w:firstLine="220"/>
              <w:jc w:val="right"/>
              <w:rPr>
                <w:rFonts w:cs="Calibri"/>
                <w:sz w:val="22"/>
                <w:szCs w:val="22"/>
              </w:rPr>
            </w:pPr>
            <w:r w:rsidRPr="00CD7CF9">
              <w:rPr>
                <w:rFonts w:cs="Calibri"/>
                <w:sz w:val="22"/>
                <w:szCs w:val="22"/>
              </w:rPr>
              <w:t>Dec-16</w:t>
            </w:r>
          </w:p>
        </w:tc>
        <w:tc>
          <w:tcPr>
            <w:tcW w:w="960" w:type="dxa"/>
            <w:tcBorders>
              <w:top w:val="nil"/>
              <w:left w:val="single" w:sz="4" w:space="0" w:color="auto"/>
              <w:bottom w:val="nil"/>
              <w:right w:val="single" w:sz="4" w:space="0" w:color="auto"/>
            </w:tcBorders>
            <w:shd w:val="clear" w:color="000000" w:fill="D9E1F2"/>
            <w:noWrap/>
            <w:vAlign w:val="bottom"/>
            <w:hideMark/>
          </w:tcPr>
          <w:p w14:paraId="739463F0" w14:textId="77777777" w:rsidR="00CD7CF9" w:rsidRPr="00CD7CF9" w:rsidRDefault="00CD7CF9" w:rsidP="00E2310D">
            <w:pPr>
              <w:keepNext/>
              <w:jc w:val="center"/>
              <w:rPr>
                <w:rFonts w:cs="Calibri"/>
                <w:sz w:val="22"/>
                <w:szCs w:val="22"/>
              </w:rPr>
            </w:pPr>
            <w:r w:rsidRPr="00CD7CF9">
              <w:rPr>
                <w:rFonts w:cs="Calibri"/>
                <w:sz w:val="22"/>
                <w:szCs w:val="22"/>
              </w:rPr>
              <w:t>All</w:t>
            </w:r>
          </w:p>
        </w:tc>
        <w:tc>
          <w:tcPr>
            <w:tcW w:w="960" w:type="dxa"/>
            <w:tcBorders>
              <w:top w:val="nil"/>
              <w:left w:val="nil"/>
              <w:bottom w:val="nil"/>
              <w:right w:val="nil"/>
            </w:tcBorders>
            <w:shd w:val="clear" w:color="000000" w:fill="D9E1F2"/>
            <w:noWrap/>
            <w:vAlign w:val="bottom"/>
            <w:hideMark/>
          </w:tcPr>
          <w:p w14:paraId="1ECAD451" w14:textId="77777777" w:rsidR="00CD7CF9" w:rsidRPr="00CD7CF9" w:rsidRDefault="00CD7CF9" w:rsidP="00E2310D">
            <w:pPr>
              <w:keepNext/>
              <w:ind w:firstLineChars="100" w:firstLine="220"/>
              <w:jc w:val="right"/>
              <w:rPr>
                <w:rFonts w:cs="Calibri"/>
                <w:sz w:val="22"/>
                <w:szCs w:val="22"/>
              </w:rPr>
            </w:pPr>
            <w:r w:rsidRPr="00CD7CF9">
              <w:rPr>
                <w:rFonts w:cs="Calibri"/>
                <w:sz w:val="22"/>
                <w:szCs w:val="22"/>
              </w:rPr>
              <w:t>726</w:t>
            </w:r>
          </w:p>
        </w:tc>
        <w:tc>
          <w:tcPr>
            <w:tcW w:w="960" w:type="dxa"/>
            <w:tcBorders>
              <w:top w:val="nil"/>
              <w:left w:val="single" w:sz="4" w:space="0" w:color="auto"/>
              <w:bottom w:val="nil"/>
              <w:right w:val="nil"/>
            </w:tcBorders>
            <w:shd w:val="clear" w:color="000000" w:fill="D9E1F2"/>
            <w:noWrap/>
            <w:vAlign w:val="bottom"/>
            <w:hideMark/>
          </w:tcPr>
          <w:p w14:paraId="663FF114" w14:textId="77777777" w:rsidR="00CD7CF9" w:rsidRPr="00CD7CF9" w:rsidRDefault="00CD7CF9" w:rsidP="00E2310D">
            <w:pPr>
              <w:keepNext/>
              <w:jc w:val="center"/>
              <w:rPr>
                <w:rFonts w:cs="Calibri"/>
                <w:sz w:val="22"/>
                <w:szCs w:val="22"/>
              </w:rPr>
            </w:pPr>
            <w:r w:rsidRPr="00CD7CF9">
              <w:rPr>
                <w:rFonts w:cs="Calibri"/>
                <w:sz w:val="22"/>
                <w:szCs w:val="22"/>
              </w:rPr>
              <w:t>0.88</w:t>
            </w:r>
          </w:p>
        </w:tc>
        <w:tc>
          <w:tcPr>
            <w:tcW w:w="1000" w:type="dxa"/>
            <w:tcBorders>
              <w:top w:val="nil"/>
              <w:left w:val="nil"/>
              <w:bottom w:val="nil"/>
              <w:right w:val="single" w:sz="4" w:space="0" w:color="auto"/>
            </w:tcBorders>
            <w:shd w:val="clear" w:color="000000" w:fill="D9E1F2"/>
            <w:noWrap/>
            <w:vAlign w:val="bottom"/>
            <w:hideMark/>
          </w:tcPr>
          <w:p w14:paraId="3E107B4F" w14:textId="77777777" w:rsidR="00CD7CF9" w:rsidRPr="00CD7CF9" w:rsidRDefault="00CD7CF9" w:rsidP="00E2310D">
            <w:pPr>
              <w:keepNext/>
              <w:jc w:val="center"/>
              <w:rPr>
                <w:rFonts w:cs="Calibri"/>
                <w:sz w:val="22"/>
                <w:szCs w:val="22"/>
              </w:rPr>
            </w:pPr>
            <w:r w:rsidRPr="00CD7CF9">
              <w:rPr>
                <w:rFonts w:cs="Calibri"/>
                <w:sz w:val="22"/>
                <w:szCs w:val="22"/>
              </w:rPr>
              <w:t>-0.03</w:t>
            </w:r>
          </w:p>
        </w:tc>
        <w:tc>
          <w:tcPr>
            <w:tcW w:w="960" w:type="dxa"/>
            <w:tcBorders>
              <w:top w:val="nil"/>
              <w:left w:val="nil"/>
              <w:bottom w:val="nil"/>
              <w:right w:val="nil"/>
            </w:tcBorders>
            <w:shd w:val="clear" w:color="000000" w:fill="D9E1F2"/>
            <w:noWrap/>
            <w:vAlign w:val="bottom"/>
            <w:hideMark/>
          </w:tcPr>
          <w:p w14:paraId="195766E2" w14:textId="77777777" w:rsidR="00CD7CF9" w:rsidRPr="00CD7CF9" w:rsidRDefault="00CD7CF9" w:rsidP="00E2310D">
            <w:pPr>
              <w:keepNext/>
              <w:jc w:val="center"/>
              <w:rPr>
                <w:rFonts w:cs="Calibri"/>
                <w:sz w:val="22"/>
                <w:szCs w:val="22"/>
              </w:rPr>
            </w:pPr>
            <w:r w:rsidRPr="00CD7CF9">
              <w:rPr>
                <w:rFonts w:cs="Calibri"/>
                <w:sz w:val="22"/>
                <w:szCs w:val="22"/>
              </w:rPr>
              <w:t>1.21</w:t>
            </w:r>
          </w:p>
        </w:tc>
        <w:tc>
          <w:tcPr>
            <w:tcW w:w="960" w:type="dxa"/>
            <w:tcBorders>
              <w:top w:val="nil"/>
              <w:left w:val="nil"/>
              <w:bottom w:val="nil"/>
              <w:right w:val="nil"/>
            </w:tcBorders>
            <w:shd w:val="clear" w:color="000000" w:fill="D9E1F2"/>
            <w:noWrap/>
            <w:vAlign w:val="bottom"/>
            <w:hideMark/>
          </w:tcPr>
          <w:p w14:paraId="4912B621" w14:textId="77777777" w:rsidR="00CD7CF9" w:rsidRPr="00CD7CF9" w:rsidRDefault="00CD7CF9" w:rsidP="00E2310D">
            <w:pPr>
              <w:keepNext/>
              <w:jc w:val="center"/>
              <w:rPr>
                <w:rFonts w:cs="Calibri"/>
                <w:sz w:val="22"/>
                <w:szCs w:val="22"/>
              </w:rPr>
            </w:pPr>
            <w:r w:rsidRPr="00CD7CF9">
              <w:rPr>
                <w:rFonts w:cs="Calibri"/>
                <w:sz w:val="22"/>
                <w:szCs w:val="22"/>
              </w:rPr>
              <w:t>-0.037</w:t>
            </w:r>
          </w:p>
        </w:tc>
        <w:tc>
          <w:tcPr>
            <w:tcW w:w="960" w:type="dxa"/>
            <w:tcBorders>
              <w:top w:val="nil"/>
              <w:left w:val="single" w:sz="4" w:space="0" w:color="auto"/>
              <w:bottom w:val="nil"/>
              <w:right w:val="single" w:sz="4" w:space="0" w:color="auto"/>
            </w:tcBorders>
            <w:shd w:val="clear" w:color="000000" w:fill="D9E1F2"/>
            <w:noWrap/>
            <w:vAlign w:val="bottom"/>
            <w:hideMark/>
          </w:tcPr>
          <w:p w14:paraId="6DE1FB82" w14:textId="77777777" w:rsidR="00CD7CF9" w:rsidRPr="00CD7CF9" w:rsidRDefault="00CD7CF9" w:rsidP="00E2310D">
            <w:pPr>
              <w:keepNext/>
              <w:jc w:val="center"/>
              <w:rPr>
                <w:rFonts w:cs="Calibri"/>
                <w:sz w:val="22"/>
                <w:szCs w:val="22"/>
              </w:rPr>
            </w:pPr>
            <w:r w:rsidRPr="00CD7CF9">
              <w:rPr>
                <w:rFonts w:cs="Calibri"/>
                <w:sz w:val="22"/>
                <w:szCs w:val="22"/>
              </w:rPr>
              <w:t>-3.0%</w:t>
            </w:r>
          </w:p>
        </w:tc>
        <w:tc>
          <w:tcPr>
            <w:tcW w:w="960" w:type="dxa"/>
            <w:tcBorders>
              <w:top w:val="nil"/>
              <w:left w:val="nil"/>
              <w:bottom w:val="nil"/>
              <w:right w:val="single" w:sz="4" w:space="0" w:color="auto"/>
            </w:tcBorders>
            <w:shd w:val="clear" w:color="000000" w:fill="D9E1F2"/>
            <w:noWrap/>
            <w:vAlign w:val="bottom"/>
            <w:hideMark/>
          </w:tcPr>
          <w:p w14:paraId="117A9D2B" w14:textId="77777777" w:rsidR="00CD7CF9" w:rsidRPr="00CD7CF9" w:rsidRDefault="00CD7CF9" w:rsidP="00E2310D">
            <w:pPr>
              <w:keepNext/>
              <w:jc w:val="center"/>
              <w:rPr>
                <w:rFonts w:cs="Calibri"/>
                <w:sz w:val="22"/>
                <w:szCs w:val="22"/>
              </w:rPr>
            </w:pPr>
            <w:r w:rsidRPr="00CD7CF9">
              <w:rPr>
                <w:rFonts w:cs="Calibri"/>
                <w:sz w:val="22"/>
                <w:szCs w:val="22"/>
              </w:rPr>
              <w:t>59</w:t>
            </w:r>
          </w:p>
        </w:tc>
      </w:tr>
      <w:tr w:rsidR="00CD7CF9" w:rsidRPr="00CD7CF9" w14:paraId="63E5F81A" w14:textId="77777777" w:rsidTr="00CD7CF9">
        <w:trPr>
          <w:trHeight w:val="315"/>
          <w:jc w:val="center"/>
        </w:trPr>
        <w:tc>
          <w:tcPr>
            <w:tcW w:w="1200" w:type="dxa"/>
            <w:tcBorders>
              <w:top w:val="nil"/>
              <w:left w:val="single" w:sz="4" w:space="0" w:color="auto"/>
              <w:bottom w:val="nil"/>
              <w:right w:val="nil"/>
            </w:tcBorders>
            <w:shd w:val="clear" w:color="000000" w:fill="D9E1F2"/>
            <w:noWrap/>
            <w:vAlign w:val="bottom"/>
            <w:hideMark/>
          </w:tcPr>
          <w:p w14:paraId="2E601C56" w14:textId="77777777" w:rsidR="00CD7CF9" w:rsidRPr="00CD7CF9" w:rsidRDefault="00CD7CF9" w:rsidP="00E2310D">
            <w:pPr>
              <w:keepNext/>
              <w:ind w:firstLineChars="100" w:firstLine="220"/>
              <w:jc w:val="right"/>
              <w:rPr>
                <w:rFonts w:cs="Calibri"/>
                <w:sz w:val="22"/>
                <w:szCs w:val="22"/>
              </w:rPr>
            </w:pPr>
            <w:r w:rsidRPr="00CD7CF9">
              <w:rPr>
                <w:rFonts w:cs="Calibri"/>
                <w:sz w:val="22"/>
                <w:szCs w:val="22"/>
              </w:rPr>
              <w:t>Jan-17</w:t>
            </w:r>
          </w:p>
        </w:tc>
        <w:tc>
          <w:tcPr>
            <w:tcW w:w="960" w:type="dxa"/>
            <w:tcBorders>
              <w:top w:val="nil"/>
              <w:left w:val="single" w:sz="4" w:space="0" w:color="auto"/>
              <w:bottom w:val="nil"/>
              <w:right w:val="single" w:sz="4" w:space="0" w:color="auto"/>
            </w:tcBorders>
            <w:shd w:val="clear" w:color="000000" w:fill="D9E1F2"/>
            <w:noWrap/>
            <w:vAlign w:val="bottom"/>
            <w:hideMark/>
          </w:tcPr>
          <w:p w14:paraId="382BDFA4" w14:textId="77777777" w:rsidR="00CD7CF9" w:rsidRPr="00CD7CF9" w:rsidRDefault="00CD7CF9" w:rsidP="00E2310D">
            <w:pPr>
              <w:keepNext/>
              <w:jc w:val="center"/>
              <w:rPr>
                <w:rFonts w:cs="Calibri"/>
                <w:sz w:val="22"/>
                <w:szCs w:val="22"/>
              </w:rPr>
            </w:pPr>
            <w:r w:rsidRPr="00CD7CF9">
              <w:rPr>
                <w:rFonts w:cs="Calibri"/>
                <w:sz w:val="22"/>
                <w:szCs w:val="22"/>
              </w:rPr>
              <w:t>All</w:t>
            </w:r>
          </w:p>
        </w:tc>
        <w:tc>
          <w:tcPr>
            <w:tcW w:w="960" w:type="dxa"/>
            <w:tcBorders>
              <w:top w:val="nil"/>
              <w:left w:val="nil"/>
              <w:bottom w:val="nil"/>
              <w:right w:val="nil"/>
            </w:tcBorders>
            <w:shd w:val="clear" w:color="000000" w:fill="D9E1F2"/>
            <w:noWrap/>
            <w:vAlign w:val="bottom"/>
            <w:hideMark/>
          </w:tcPr>
          <w:p w14:paraId="062F6C9A" w14:textId="77777777" w:rsidR="00CD7CF9" w:rsidRPr="00CD7CF9" w:rsidRDefault="00CD7CF9" w:rsidP="00E2310D">
            <w:pPr>
              <w:keepNext/>
              <w:ind w:firstLineChars="100" w:firstLine="220"/>
              <w:jc w:val="right"/>
              <w:rPr>
                <w:rFonts w:cs="Calibri"/>
                <w:sz w:val="22"/>
                <w:szCs w:val="22"/>
              </w:rPr>
            </w:pPr>
            <w:r w:rsidRPr="00CD7CF9">
              <w:rPr>
                <w:rFonts w:cs="Calibri"/>
                <w:sz w:val="22"/>
                <w:szCs w:val="22"/>
              </w:rPr>
              <w:t>755</w:t>
            </w:r>
          </w:p>
        </w:tc>
        <w:tc>
          <w:tcPr>
            <w:tcW w:w="960" w:type="dxa"/>
            <w:tcBorders>
              <w:top w:val="nil"/>
              <w:left w:val="single" w:sz="4" w:space="0" w:color="auto"/>
              <w:bottom w:val="nil"/>
              <w:right w:val="nil"/>
            </w:tcBorders>
            <w:shd w:val="clear" w:color="000000" w:fill="D9E1F2"/>
            <w:noWrap/>
            <w:vAlign w:val="bottom"/>
            <w:hideMark/>
          </w:tcPr>
          <w:p w14:paraId="6465F123" w14:textId="77777777" w:rsidR="00CD7CF9" w:rsidRPr="00CD7CF9" w:rsidRDefault="00CD7CF9" w:rsidP="00E2310D">
            <w:pPr>
              <w:keepNext/>
              <w:jc w:val="center"/>
              <w:rPr>
                <w:rFonts w:cs="Calibri"/>
                <w:sz w:val="22"/>
                <w:szCs w:val="22"/>
              </w:rPr>
            </w:pPr>
            <w:r w:rsidRPr="00CD7CF9">
              <w:rPr>
                <w:rFonts w:cs="Calibri"/>
                <w:sz w:val="22"/>
                <w:szCs w:val="22"/>
              </w:rPr>
              <w:t>0.88</w:t>
            </w:r>
          </w:p>
        </w:tc>
        <w:tc>
          <w:tcPr>
            <w:tcW w:w="1000" w:type="dxa"/>
            <w:tcBorders>
              <w:top w:val="nil"/>
              <w:left w:val="nil"/>
              <w:bottom w:val="nil"/>
              <w:right w:val="single" w:sz="4" w:space="0" w:color="auto"/>
            </w:tcBorders>
            <w:shd w:val="clear" w:color="000000" w:fill="D9E1F2"/>
            <w:noWrap/>
            <w:vAlign w:val="bottom"/>
            <w:hideMark/>
          </w:tcPr>
          <w:p w14:paraId="35E0B776" w14:textId="77777777" w:rsidR="00CD7CF9" w:rsidRPr="00CD7CF9" w:rsidRDefault="00CD7CF9" w:rsidP="00E2310D">
            <w:pPr>
              <w:keepNext/>
              <w:jc w:val="center"/>
              <w:rPr>
                <w:rFonts w:cs="Calibri"/>
                <w:sz w:val="22"/>
                <w:szCs w:val="22"/>
              </w:rPr>
            </w:pPr>
            <w:r w:rsidRPr="00CD7CF9">
              <w:rPr>
                <w:rFonts w:cs="Calibri"/>
                <w:sz w:val="22"/>
                <w:szCs w:val="22"/>
              </w:rPr>
              <w:t>-0.03</w:t>
            </w:r>
          </w:p>
        </w:tc>
        <w:tc>
          <w:tcPr>
            <w:tcW w:w="960" w:type="dxa"/>
            <w:tcBorders>
              <w:top w:val="nil"/>
              <w:left w:val="nil"/>
              <w:bottom w:val="nil"/>
              <w:right w:val="nil"/>
            </w:tcBorders>
            <w:shd w:val="clear" w:color="000000" w:fill="D9E1F2"/>
            <w:noWrap/>
            <w:vAlign w:val="bottom"/>
            <w:hideMark/>
          </w:tcPr>
          <w:p w14:paraId="08EB0B5A" w14:textId="77777777" w:rsidR="00CD7CF9" w:rsidRPr="00CD7CF9" w:rsidRDefault="00CD7CF9" w:rsidP="00E2310D">
            <w:pPr>
              <w:keepNext/>
              <w:jc w:val="center"/>
              <w:rPr>
                <w:rFonts w:cs="Calibri"/>
                <w:sz w:val="22"/>
                <w:szCs w:val="22"/>
              </w:rPr>
            </w:pPr>
            <w:r w:rsidRPr="00CD7CF9">
              <w:rPr>
                <w:rFonts w:cs="Calibri"/>
                <w:sz w:val="22"/>
                <w:szCs w:val="22"/>
              </w:rPr>
              <w:t>1.16</w:t>
            </w:r>
          </w:p>
        </w:tc>
        <w:tc>
          <w:tcPr>
            <w:tcW w:w="960" w:type="dxa"/>
            <w:tcBorders>
              <w:top w:val="nil"/>
              <w:left w:val="nil"/>
              <w:bottom w:val="nil"/>
              <w:right w:val="nil"/>
            </w:tcBorders>
            <w:shd w:val="clear" w:color="000000" w:fill="D9E1F2"/>
            <w:noWrap/>
            <w:vAlign w:val="bottom"/>
            <w:hideMark/>
          </w:tcPr>
          <w:p w14:paraId="3C1F3B3C" w14:textId="77777777" w:rsidR="00CD7CF9" w:rsidRPr="00CD7CF9" w:rsidRDefault="00CD7CF9" w:rsidP="00E2310D">
            <w:pPr>
              <w:keepNext/>
              <w:jc w:val="center"/>
              <w:rPr>
                <w:rFonts w:cs="Calibri"/>
                <w:sz w:val="22"/>
                <w:szCs w:val="22"/>
              </w:rPr>
            </w:pPr>
            <w:r w:rsidRPr="00CD7CF9">
              <w:rPr>
                <w:rFonts w:cs="Calibri"/>
                <w:sz w:val="22"/>
                <w:szCs w:val="22"/>
              </w:rPr>
              <w:t>-0.035</w:t>
            </w:r>
          </w:p>
        </w:tc>
        <w:tc>
          <w:tcPr>
            <w:tcW w:w="960" w:type="dxa"/>
            <w:tcBorders>
              <w:top w:val="nil"/>
              <w:left w:val="single" w:sz="4" w:space="0" w:color="auto"/>
              <w:bottom w:val="nil"/>
              <w:right w:val="single" w:sz="4" w:space="0" w:color="auto"/>
            </w:tcBorders>
            <w:shd w:val="clear" w:color="000000" w:fill="D9E1F2"/>
            <w:noWrap/>
            <w:vAlign w:val="bottom"/>
            <w:hideMark/>
          </w:tcPr>
          <w:p w14:paraId="153047D6" w14:textId="77777777" w:rsidR="00CD7CF9" w:rsidRPr="00CD7CF9" w:rsidRDefault="00CD7CF9" w:rsidP="00E2310D">
            <w:pPr>
              <w:keepNext/>
              <w:jc w:val="center"/>
              <w:rPr>
                <w:rFonts w:cs="Calibri"/>
                <w:sz w:val="22"/>
                <w:szCs w:val="22"/>
              </w:rPr>
            </w:pPr>
            <w:r w:rsidRPr="00CD7CF9">
              <w:rPr>
                <w:rFonts w:cs="Calibri"/>
                <w:sz w:val="22"/>
                <w:szCs w:val="22"/>
              </w:rPr>
              <w:t>-3.0%</w:t>
            </w:r>
          </w:p>
        </w:tc>
        <w:tc>
          <w:tcPr>
            <w:tcW w:w="960" w:type="dxa"/>
            <w:tcBorders>
              <w:top w:val="nil"/>
              <w:left w:val="nil"/>
              <w:bottom w:val="nil"/>
              <w:right w:val="single" w:sz="4" w:space="0" w:color="auto"/>
            </w:tcBorders>
            <w:shd w:val="clear" w:color="000000" w:fill="D9E1F2"/>
            <w:noWrap/>
            <w:vAlign w:val="bottom"/>
            <w:hideMark/>
          </w:tcPr>
          <w:p w14:paraId="7840AAD0" w14:textId="77777777" w:rsidR="00CD7CF9" w:rsidRPr="00CD7CF9" w:rsidRDefault="00CD7CF9" w:rsidP="00E2310D">
            <w:pPr>
              <w:keepNext/>
              <w:jc w:val="center"/>
              <w:rPr>
                <w:rFonts w:cs="Calibri"/>
                <w:sz w:val="22"/>
                <w:szCs w:val="22"/>
              </w:rPr>
            </w:pPr>
            <w:r w:rsidRPr="00CD7CF9">
              <w:rPr>
                <w:rFonts w:cs="Calibri"/>
                <w:sz w:val="22"/>
                <w:szCs w:val="22"/>
              </w:rPr>
              <w:t>56</w:t>
            </w:r>
          </w:p>
        </w:tc>
      </w:tr>
      <w:tr w:rsidR="00CD7CF9" w:rsidRPr="00CD7CF9" w14:paraId="248CA38D" w14:textId="77777777" w:rsidTr="00CD7CF9">
        <w:trPr>
          <w:trHeight w:val="300"/>
          <w:jc w:val="center"/>
        </w:trPr>
        <w:tc>
          <w:tcPr>
            <w:tcW w:w="1200" w:type="dxa"/>
            <w:tcBorders>
              <w:top w:val="nil"/>
              <w:left w:val="single" w:sz="4" w:space="0" w:color="auto"/>
              <w:bottom w:val="nil"/>
              <w:right w:val="nil"/>
            </w:tcBorders>
            <w:shd w:val="clear" w:color="000000" w:fill="D9E1F2"/>
            <w:noWrap/>
            <w:vAlign w:val="bottom"/>
            <w:hideMark/>
          </w:tcPr>
          <w:p w14:paraId="086BF81B" w14:textId="77777777" w:rsidR="00CD7CF9" w:rsidRPr="00CD7CF9" w:rsidRDefault="00CD7CF9" w:rsidP="00CD7CF9">
            <w:pPr>
              <w:ind w:firstLineChars="100" w:firstLine="220"/>
              <w:jc w:val="right"/>
              <w:rPr>
                <w:rFonts w:cs="Calibri"/>
                <w:sz w:val="22"/>
                <w:szCs w:val="22"/>
              </w:rPr>
            </w:pPr>
            <w:r w:rsidRPr="00CD7CF9">
              <w:rPr>
                <w:rFonts w:cs="Calibri"/>
                <w:sz w:val="22"/>
                <w:szCs w:val="22"/>
              </w:rPr>
              <w:t>Feb-17</w:t>
            </w:r>
          </w:p>
        </w:tc>
        <w:tc>
          <w:tcPr>
            <w:tcW w:w="960" w:type="dxa"/>
            <w:tcBorders>
              <w:top w:val="nil"/>
              <w:left w:val="single" w:sz="4" w:space="0" w:color="auto"/>
              <w:bottom w:val="nil"/>
              <w:right w:val="single" w:sz="4" w:space="0" w:color="auto"/>
            </w:tcBorders>
            <w:shd w:val="clear" w:color="000000" w:fill="D9E1F2"/>
            <w:noWrap/>
            <w:vAlign w:val="bottom"/>
            <w:hideMark/>
          </w:tcPr>
          <w:p w14:paraId="3119E48C" w14:textId="77777777" w:rsidR="00CD7CF9" w:rsidRPr="00CD7CF9" w:rsidRDefault="00CD7CF9" w:rsidP="00CD7CF9">
            <w:pPr>
              <w:jc w:val="center"/>
              <w:rPr>
                <w:rFonts w:cs="Calibri"/>
                <w:sz w:val="22"/>
                <w:szCs w:val="22"/>
              </w:rPr>
            </w:pPr>
            <w:r w:rsidRPr="00CD7CF9">
              <w:rPr>
                <w:rFonts w:cs="Calibri"/>
                <w:sz w:val="22"/>
                <w:szCs w:val="22"/>
              </w:rPr>
              <w:t>All</w:t>
            </w:r>
          </w:p>
        </w:tc>
        <w:tc>
          <w:tcPr>
            <w:tcW w:w="960" w:type="dxa"/>
            <w:tcBorders>
              <w:top w:val="nil"/>
              <w:left w:val="nil"/>
              <w:bottom w:val="nil"/>
              <w:right w:val="nil"/>
            </w:tcBorders>
            <w:shd w:val="clear" w:color="000000" w:fill="D9E1F2"/>
            <w:noWrap/>
            <w:vAlign w:val="bottom"/>
            <w:hideMark/>
          </w:tcPr>
          <w:p w14:paraId="4961A64D" w14:textId="77777777" w:rsidR="00CD7CF9" w:rsidRPr="00CD7CF9" w:rsidRDefault="00CD7CF9" w:rsidP="00CD7CF9">
            <w:pPr>
              <w:ind w:firstLineChars="100" w:firstLine="220"/>
              <w:jc w:val="right"/>
              <w:rPr>
                <w:rFonts w:cs="Calibri"/>
                <w:sz w:val="22"/>
                <w:szCs w:val="22"/>
              </w:rPr>
            </w:pPr>
            <w:r w:rsidRPr="00CD7CF9">
              <w:rPr>
                <w:rFonts w:cs="Calibri"/>
                <w:sz w:val="22"/>
                <w:szCs w:val="22"/>
              </w:rPr>
              <w:t>795</w:t>
            </w:r>
          </w:p>
        </w:tc>
        <w:tc>
          <w:tcPr>
            <w:tcW w:w="960" w:type="dxa"/>
            <w:tcBorders>
              <w:top w:val="nil"/>
              <w:left w:val="single" w:sz="4" w:space="0" w:color="auto"/>
              <w:bottom w:val="nil"/>
              <w:right w:val="nil"/>
            </w:tcBorders>
            <w:shd w:val="clear" w:color="000000" w:fill="D9E1F2"/>
            <w:noWrap/>
            <w:vAlign w:val="bottom"/>
            <w:hideMark/>
          </w:tcPr>
          <w:p w14:paraId="4235B0D6" w14:textId="77777777" w:rsidR="00CD7CF9" w:rsidRPr="00CD7CF9" w:rsidRDefault="00CD7CF9" w:rsidP="00CD7CF9">
            <w:pPr>
              <w:jc w:val="center"/>
              <w:rPr>
                <w:rFonts w:cs="Calibri"/>
                <w:sz w:val="22"/>
                <w:szCs w:val="22"/>
              </w:rPr>
            </w:pPr>
            <w:r w:rsidRPr="00CD7CF9">
              <w:rPr>
                <w:rFonts w:cs="Calibri"/>
                <w:sz w:val="22"/>
                <w:szCs w:val="22"/>
              </w:rPr>
              <w:t>0.79</w:t>
            </w:r>
          </w:p>
        </w:tc>
        <w:tc>
          <w:tcPr>
            <w:tcW w:w="1000" w:type="dxa"/>
            <w:tcBorders>
              <w:top w:val="nil"/>
              <w:left w:val="nil"/>
              <w:bottom w:val="nil"/>
              <w:right w:val="single" w:sz="4" w:space="0" w:color="auto"/>
            </w:tcBorders>
            <w:shd w:val="clear" w:color="000000" w:fill="D9E1F2"/>
            <w:noWrap/>
            <w:vAlign w:val="bottom"/>
            <w:hideMark/>
          </w:tcPr>
          <w:p w14:paraId="20CDEBEB" w14:textId="77777777" w:rsidR="00CD7CF9" w:rsidRPr="00CD7CF9" w:rsidRDefault="00CD7CF9" w:rsidP="00CD7CF9">
            <w:pPr>
              <w:jc w:val="center"/>
              <w:rPr>
                <w:rFonts w:cs="Calibri"/>
                <w:sz w:val="22"/>
                <w:szCs w:val="22"/>
              </w:rPr>
            </w:pPr>
            <w:r w:rsidRPr="00CD7CF9">
              <w:rPr>
                <w:rFonts w:cs="Calibri"/>
                <w:sz w:val="22"/>
                <w:szCs w:val="22"/>
              </w:rPr>
              <w:t>-0.02</w:t>
            </w:r>
          </w:p>
        </w:tc>
        <w:tc>
          <w:tcPr>
            <w:tcW w:w="960" w:type="dxa"/>
            <w:tcBorders>
              <w:top w:val="nil"/>
              <w:left w:val="nil"/>
              <w:bottom w:val="nil"/>
              <w:right w:val="nil"/>
            </w:tcBorders>
            <w:shd w:val="clear" w:color="000000" w:fill="D9E1F2"/>
            <w:noWrap/>
            <w:vAlign w:val="bottom"/>
            <w:hideMark/>
          </w:tcPr>
          <w:p w14:paraId="16E0589C" w14:textId="77777777" w:rsidR="00CD7CF9" w:rsidRPr="00CD7CF9" w:rsidRDefault="00CD7CF9" w:rsidP="00CD7CF9">
            <w:pPr>
              <w:jc w:val="center"/>
              <w:rPr>
                <w:rFonts w:cs="Calibri"/>
                <w:sz w:val="22"/>
                <w:szCs w:val="22"/>
              </w:rPr>
            </w:pPr>
            <w:r w:rsidRPr="00CD7CF9">
              <w:rPr>
                <w:rFonts w:cs="Calibri"/>
                <w:sz w:val="22"/>
                <w:szCs w:val="22"/>
              </w:rPr>
              <w:t>0.99</w:t>
            </w:r>
          </w:p>
        </w:tc>
        <w:tc>
          <w:tcPr>
            <w:tcW w:w="960" w:type="dxa"/>
            <w:tcBorders>
              <w:top w:val="nil"/>
              <w:left w:val="nil"/>
              <w:bottom w:val="nil"/>
              <w:right w:val="nil"/>
            </w:tcBorders>
            <w:shd w:val="clear" w:color="000000" w:fill="D9E1F2"/>
            <w:noWrap/>
            <w:vAlign w:val="bottom"/>
            <w:hideMark/>
          </w:tcPr>
          <w:p w14:paraId="37B42207" w14:textId="77777777" w:rsidR="00CD7CF9" w:rsidRPr="00CD7CF9" w:rsidRDefault="00CD7CF9" w:rsidP="00CD7CF9">
            <w:pPr>
              <w:jc w:val="center"/>
              <w:rPr>
                <w:rFonts w:cs="Calibri"/>
                <w:sz w:val="22"/>
                <w:szCs w:val="22"/>
              </w:rPr>
            </w:pPr>
            <w:r w:rsidRPr="00CD7CF9">
              <w:rPr>
                <w:rFonts w:cs="Calibri"/>
                <w:sz w:val="22"/>
                <w:szCs w:val="22"/>
              </w:rPr>
              <w:t>-0.030</w:t>
            </w:r>
          </w:p>
        </w:tc>
        <w:tc>
          <w:tcPr>
            <w:tcW w:w="960" w:type="dxa"/>
            <w:tcBorders>
              <w:top w:val="nil"/>
              <w:left w:val="single" w:sz="4" w:space="0" w:color="auto"/>
              <w:bottom w:val="nil"/>
              <w:right w:val="single" w:sz="4" w:space="0" w:color="auto"/>
            </w:tcBorders>
            <w:shd w:val="clear" w:color="000000" w:fill="D9E1F2"/>
            <w:noWrap/>
            <w:vAlign w:val="bottom"/>
            <w:hideMark/>
          </w:tcPr>
          <w:p w14:paraId="148A39B7" w14:textId="77777777" w:rsidR="00CD7CF9" w:rsidRPr="00CD7CF9" w:rsidRDefault="00CD7CF9" w:rsidP="00CD7CF9">
            <w:pPr>
              <w:jc w:val="center"/>
              <w:rPr>
                <w:rFonts w:cs="Calibri"/>
                <w:sz w:val="22"/>
                <w:szCs w:val="22"/>
              </w:rPr>
            </w:pPr>
            <w:r w:rsidRPr="00CD7CF9">
              <w:rPr>
                <w:rFonts w:cs="Calibri"/>
                <w:sz w:val="22"/>
                <w:szCs w:val="22"/>
              </w:rPr>
              <w:t>-3.1%</w:t>
            </w:r>
          </w:p>
        </w:tc>
        <w:tc>
          <w:tcPr>
            <w:tcW w:w="960" w:type="dxa"/>
            <w:tcBorders>
              <w:top w:val="nil"/>
              <w:left w:val="nil"/>
              <w:bottom w:val="nil"/>
              <w:right w:val="single" w:sz="4" w:space="0" w:color="auto"/>
            </w:tcBorders>
            <w:shd w:val="clear" w:color="000000" w:fill="D9E1F2"/>
            <w:noWrap/>
            <w:vAlign w:val="bottom"/>
            <w:hideMark/>
          </w:tcPr>
          <w:p w14:paraId="15D4ECC9" w14:textId="77777777" w:rsidR="00CD7CF9" w:rsidRPr="00CD7CF9" w:rsidRDefault="00CD7CF9" w:rsidP="00CD7CF9">
            <w:pPr>
              <w:jc w:val="center"/>
              <w:rPr>
                <w:rFonts w:cs="Calibri"/>
                <w:sz w:val="22"/>
                <w:szCs w:val="22"/>
              </w:rPr>
            </w:pPr>
            <w:r w:rsidRPr="00CD7CF9">
              <w:rPr>
                <w:rFonts w:cs="Calibri"/>
                <w:sz w:val="22"/>
                <w:szCs w:val="22"/>
              </w:rPr>
              <w:t>59</w:t>
            </w:r>
          </w:p>
        </w:tc>
      </w:tr>
      <w:tr w:rsidR="00CD7CF9" w:rsidRPr="00CD7CF9" w14:paraId="37E99D0F" w14:textId="77777777" w:rsidTr="00CD7CF9">
        <w:trPr>
          <w:trHeight w:val="300"/>
          <w:jc w:val="center"/>
        </w:trPr>
        <w:tc>
          <w:tcPr>
            <w:tcW w:w="1200" w:type="dxa"/>
            <w:tcBorders>
              <w:top w:val="nil"/>
              <w:left w:val="single" w:sz="4" w:space="0" w:color="auto"/>
              <w:bottom w:val="nil"/>
              <w:right w:val="nil"/>
            </w:tcBorders>
            <w:shd w:val="clear" w:color="000000" w:fill="D9E1F2"/>
            <w:noWrap/>
            <w:vAlign w:val="bottom"/>
            <w:hideMark/>
          </w:tcPr>
          <w:p w14:paraId="426B2B78" w14:textId="77777777" w:rsidR="00CD7CF9" w:rsidRPr="00CD7CF9" w:rsidRDefault="00CD7CF9" w:rsidP="00CD7CF9">
            <w:pPr>
              <w:ind w:firstLineChars="100" w:firstLine="220"/>
              <w:jc w:val="right"/>
              <w:rPr>
                <w:rFonts w:cs="Calibri"/>
                <w:sz w:val="22"/>
                <w:szCs w:val="22"/>
              </w:rPr>
            </w:pPr>
            <w:r w:rsidRPr="00CD7CF9">
              <w:rPr>
                <w:rFonts w:cs="Calibri"/>
                <w:sz w:val="22"/>
                <w:szCs w:val="22"/>
              </w:rPr>
              <w:t>Mar-17</w:t>
            </w:r>
          </w:p>
        </w:tc>
        <w:tc>
          <w:tcPr>
            <w:tcW w:w="960" w:type="dxa"/>
            <w:tcBorders>
              <w:top w:val="nil"/>
              <w:left w:val="single" w:sz="4" w:space="0" w:color="auto"/>
              <w:bottom w:val="nil"/>
              <w:right w:val="single" w:sz="4" w:space="0" w:color="auto"/>
            </w:tcBorders>
            <w:shd w:val="clear" w:color="000000" w:fill="D9E1F2"/>
            <w:noWrap/>
            <w:vAlign w:val="bottom"/>
            <w:hideMark/>
          </w:tcPr>
          <w:p w14:paraId="246F6CDE" w14:textId="77777777" w:rsidR="00CD7CF9" w:rsidRPr="00CD7CF9" w:rsidRDefault="00CD7CF9" w:rsidP="00CD7CF9">
            <w:pPr>
              <w:jc w:val="center"/>
              <w:rPr>
                <w:rFonts w:cs="Calibri"/>
                <w:sz w:val="22"/>
                <w:szCs w:val="22"/>
              </w:rPr>
            </w:pPr>
            <w:r w:rsidRPr="00CD7CF9">
              <w:rPr>
                <w:rFonts w:cs="Calibri"/>
                <w:sz w:val="22"/>
                <w:szCs w:val="22"/>
              </w:rPr>
              <w:t>All</w:t>
            </w:r>
          </w:p>
        </w:tc>
        <w:tc>
          <w:tcPr>
            <w:tcW w:w="960" w:type="dxa"/>
            <w:tcBorders>
              <w:top w:val="nil"/>
              <w:left w:val="nil"/>
              <w:bottom w:val="nil"/>
              <w:right w:val="nil"/>
            </w:tcBorders>
            <w:shd w:val="clear" w:color="000000" w:fill="D9E1F2"/>
            <w:noWrap/>
            <w:vAlign w:val="bottom"/>
            <w:hideMark/>
          </w:tcPr>
          <w:p w14:paraId="61B0450E" w14:textId="77777777" w:rsidR="00CD7CF9" w:rsidRPr="00CD7CF9" w:rsidRDefault="00CD7CF9" w:rsidP="00CD7CF9">
            <w:pPr>
              <w:ind w:firstLineChars="100" w:firstLine="220"/>
              <w:jc w:val="right"/>
              <w:rPr>
                <w:rFonts w:cs="Calibri"/>
                <w:sz w:val="22"/>
                <w:szCs w:val="22"/>
              </w:rPr>
            </w:pPr>
            <w:r w:rsidRPr="00CD7CF9">
              <w:rPr>
                <w:rFonts w:cs="Calibri"/>
                <w:sz w:val="22"/>
                <w:szCs w:val="22"/>
              </w:rPr>
              <w:t>860</w:t>
            </w:r>
          </w:p>
        </w:tc>
        <w:tc>
          <w:tcPr>
            <w:tcW w:w="960" w:type="dxa"/>
            <w:tcBorders>
              <w:top w:val="nil"/>
              <w:left w:val="single" w:sz="4" w:space="0" w:color="auto"/>
              <w:bottom w:val="nil"/>
              <w:right w:val="nil"/>
            </w:tcBorders>
            <w:shd w:val="clear" w:color="000000" w:fill="D9E1F2"/>
            <w:noWrap/>
            <w:vAlign w:val="bottom"/>
            <w:hideMark/>
          </w:tcPr>
          <w:p w14:paraId="42562412" w14:textId="77777777" w:rsidR="00CD7CF9" w:rsidRPr="00CD7CF9" w:rsidRDefault="00CD7CF9" w:rsidP="00CD7CF9">
            <w:pPr>
              <w:jc w:val="center"/>
              <w:rPr>
                <w:rFonts w:cs="Calibri"/>
                <w:sz w:val="22"/>
                <w:szCs w:val="22"/>
              </w:rPr>
            </w:pPr>
            <w:r w:rsidRPr="00CD7CF9">
              <w:rPr>
                <w:rFonts w:cs="Calibri"/>
                <w:sz w:val="22"/>
                <w:szCs w:val="22"/>
              </w:rPr>
              <w:t>0.75</w:t>
            </w:r>
          </w:p>
        </w:tc>
        <w:tc>
          <w:tcPr>
            <w:tcW w:w="1000" w:type="dxa"/>
            <w:tcBorders>
              <w:top w:val="nil"/>
              <w:left w:val="nil"/>
              <w:bottom w:val="nil"/>
              <w:right w:val="single" w:sz="4" w:space="0" w:color="auto"/>
            </w:tcBorders>
            <w:shd w:val="clear" w:color="000000" w:fill="D9E1F2"/>
            <w:noWrap/>
            <w:vAlign w:val="bottom"/>
            <w:hideMark/>
          </w:tcPr>
          <w:p w14:paraId="7DB29549" w14:textId="77777777" w:rsidR="00CD7CF9" w:rsidRPr="00CD7CF9" w:rsidRDefault="00CD7CF9" w:rsidP="00CD7CF9">
            <w:pPr>
              <w:jc w:val="center"/>
              <w:rPr>
                <w:rFonts w:cs="Calibri"/>
                <w:sz w:val="22"/>
                <w:szCs w:val="22"/>
              </w:rPr>
            </w:pPr>
            <w:r w:rsidRPr="00CD7CF9">
              <w:rPr>
                <w:rFonts w:cs="Calibri"/>
                <w:sz w:val="22"/>
                <w:szCs w:val="22"/>
              </w:rPr>
              <w:t>-0.02</w:t>
            </w:r>
          </w:p>
        </w:tc>
        <w:tc>
          <w:tcPr>
            <w:tcW w:w="960" w:type="dxa"/>
            <w:tcBorders>
              <w:top w:val="nil"/>
              <w:left w:val="nil"/>
              <w:bottom w:val="nil"/>
              <w:right w:val="nil"/>
            </w:tcBorders>
            <w:shd w:val="clear" w:color="000000" w:fill="D9E1F2"/>
            <w:noWrap/>
            <w:vAlign w:val="bottom"/>
            <w:hideMark/>
          </w:tcPr>
          <w:p w14:paraId="47160E0D" w14:textId="77777777" w:rsidR="00CD7CF9" w:rsidRPr="00CD7CF9" w:rsidRDefault="00CD7CF9" w:rsidP="00CD7CF9">
            <w:pPr>
              <w:jc w:val="center"/>
              <w:rPr>
                <w:rFonts w:cs="Calibri"/>
                <w:sz w:val="22"/>
                <w:szCs w:val="22"/>
              </w:rPr>
            </w:pPr>
            <w:r w:rsidRPr="00CD7CF9">
              <w:rPr>
                <w:rFonts w:cs="Calibri"/>
                <w:sz w:val="22"/>
                <w:szCs w:val="22"/>
              </w:rPr>
              <w:t>0.88</w:t>
            </w:r>
          </w:p>
        </w:tc>
        <w:tc>
          <w:tcPr>
            <w:tcW w:w="960" w:type="dxa"/>
            <w:tcBorders>
              <w:top w:val="nil"/>
              <w:left w:val="nil"/>
              <w:bottom w:val="nil"/>
              <w:right w:val="nil"/>
            </w:tcBorders>
            <w:shd w:val="clear" w:color="000000" w:fill="D9E1F2"/>
            <w:noWrap/>
            <w:vAlign w:val="bottom"/>
            <w:hideMark/>
          </w:tcPr>
          <w:p w14:paraId="3425DE5E" w14:textId="77777777" w:rsidR="00CD7CF9" w:rsidRPr="00CD7CF9" w:rsidRDefault="00CD7CF9" w:rsidP="00CD7CF9">
            <w:pPr>
              <w:jc w:val="center"/>
              <w:rPr>
                <w:rFonts w:cs="Calibri"/>
                <w:sz w:val="22"/>
                <w:szCs w:val="22"/>
              </w:rPr>
            </w:pPr>
            <w:r w:rsidRPr="00CD7CF9">
              <w:rPr>
                <w:rFonts w:cs="Calibri"/>
                <w:sz w:val="22"/>
                <w:szCs w:val="22"/>
              </w:rPr>
              <w:t>-0.027</w:t>
            </w:r>
          </w:p>
        </w:tc>
        <w:tc>
          <w:tcPr>
            <w:tcW w:w="960" w:type="dxa"/>
            <w:tcBorders>
              <w:top w:val="nil"/>
              <w:left w:val="single" w:sz="4" w:space="0" w:color="auto"/>
              <w:bottom w:val="nil"/>
              <w:right w:val="single" w:sz="4" w:space="0" w:color="auto"/>
            </w:tcBorders>
            <w:shd w:val="clear" w:color="000000" w:fill="D9E1F2"/>
            <w:noWrap/>
            <w:vAlign w:val="bottom"/>
            <w:hideMark/>
          </w:tcPr>
          <w:p w14:paraId="2BD0873A" w14:textId="77777777" w:rsidR="00CD7CF9" w:rsidRPr="00CD7CF9" w:rsidRDefault="00CD7CF9" w:rsidP="00CD7CF9">
            <w:pPr>
              <w:jc w:val="center"/>
              <w:rPr>
                <w:rFonts w:cs="Calibri"/>
                <w:sz w:val="22"/>
                <w:szCs w:val="22"/>
              </w:rPr>
            </w:pPr>
            <w:r w:rsidRPr="00CD7CF9">
              <w:rPr>
                <w:rFonts w:cs="Calibri"/>
                <w:sz w:val="22"/>
                <w:szCs w:val="22"/>
              </w:rPr>
              <w:t>-3.1%</w:t>
            </w:r>
          </w:p>
        </w:tc>
        <w:tc>
          <w:tcPr>
            <w:tcW w:w="960" w:type="dxa"/>
            <w:tcBorders>
              <w:top w:val="nil"/>
              <w:left w:val="nil"/>
              <w:bottom w:val="nil"/>
              <w:right w:val="single" w:sz="4" w:space="0" w:color="auto"/>
            </w:tcBorders>
            <w:shd w:val="clear" w:color="000000" w:fill="D9E1F2"/>
            <w:noWrap/>
            <w:vAlign w:val="bottom"/>
            <w:hideMark/>
          </w:tcPr>
          <w:p w14:paraId="79E0960E" w14:textId="77777777" w:rsidR="00CD7CF9" w:rsidRPr="00CD7CF9" w:rsidRDefault="00CD7CF9" w:rsidP="00CD7CF9">
            <w:pPr>
              <w:jc w:val="center"/>
              <w:rPr>
                <w:rFonts w:cs="Calibri"/>
                <w:sz w:val="22"/>
                <w:szCs w:val="22"/>
              </w:rPr>
            </w:pPr>
            <w:r w:rsidRPr="00CD7CF9">
              <w:rPr>
                <w:rFonts w:cs="Calibri"/>
                <w:sz w:val="22"/>
                <w:szCs w:val="22"/>
              </w:rPr>
              <w:t>65</w:t>
            </w:r>
          </w:p>
        </w:tc>
      </w:tr>
      <w:tr w:rsidR="00CD7CF9" w:rsidRPr="00CD7CF9" w14:paraId="0DE1D3F6" w14:textId="77777777" w:rsidTr="00CD7CF9">
        <w:trPr>
          <w:trHeight w:val="300"/>
          <w:jc w:val="center"/>
        </w:trPr>
        <w:tc>
          <w:tcPr>
            <w:tcW w:w="1200" w:type="dxa"/>
            <w:tcBorders>
              <w:top w:val="nil"/>
              <w:left w:val="single" w:sz="4" w:space="0" w:color="auto"/>
              <w:bottom w:val="single" w:sz="4" w:space="0" w:color="auto"/>
              <w:right w:val="nil"/>
            </w:tcBorders>
            <w:shd w:val="clear" w:color="000000" w:fill="D9E1F2"/>
            <w:noWrap/>
            <w:vAlign w:val="bottom"/>
            <w:hideMark/>
          </w:tcPr>
          <w:p w14:paraId="183B1999" w14:textId="77777777" w:rsidR="00CD7CF9" w:rsidRPr="00CD7CF9" w:rsidRDefault="00CD7CF9" w:rsidP="00CD7CF9">
            <w:pPr>
              <w:ind w:firstLineChars="100" w:firstLine="220"/>
              <w:jc w:val="right"/>
              <w:rPr>
                <w:rFonts w:cs="Calibri"/>
                <w:sz w:val="22"/>
                <w:szCs w:val="22"/>
              </w:rPr>
            </w:pPr>
            <w:r w:rsidRPr="00CD7CF9">
              <w:rPr>
                <w:rFonts w:cs="Calibri"/>
                <w:sz w:val="22"/>
                <w:szCs w:val="22"/>
              </w:rPr>
              <w:t>Apr-17</w:t>
            </w:r>
          </w:p>
        </w:tc>
        <w:tc>
          <w:tcPr>
            <w:tcW w:w="960" w:type="dxa"/>
            <w:tcBorders>
              <w:top w:val="nil"/>
              <w:left w:val="single" w:sz="4" w:space="0" w:color="auto"/>
              <w:bottom w:val="single" w:sz="4" w:space="0" w:color="auto"/>
              <w:right w:val="single" w:sz="4" w:space="0" w:color="auto"/>
            </w:tcBorders>
            <w:shd w:val="clear" w:color="000000" w:fill="D9E1F2"/>
            <w:noWrap/>
            <w:vAlign w:val="bottom"/>
            <w:hideMark/>
          </w:tcPr>
          <w:p w14:paraId="2E51D18F" w14:textId="77777777" w:rsidR="00CD7CF9" w:rsidRPr="00CD7CF9" w:rsidRDefault="00CD7CF9" w:rsidP="00CD7CF9">
            <w:pPr>
              <w:jc w:val="center"/>
              <w:rPr>
                <w:rFonts w:cs="Calibri"/>
                <w:sz w:val="22"/>
                <w:szCs w:val="22"/>
              </w:rPr>
            </w:pPr>
            <w:r w:rsidRPr="00CD7CF9">
              <w:rPr>
                <w:rFonts w:cs="Calibri"/>
                <w:sz w:val="22"/>
                <w:szCs w:val="22"/>
              </w:rPr>
              <w:t>All</w:t>
            </w:r>
          </w:p>
        </w:tc>
        <w:tc>
          <w:tcPr>
            <w:tcW w:w="960" w:type="dxa"/>
            <w:tcBorders>
              <w:top w:val="nil"/>
              <w:left w:val="nil"/>
              <w:bottom w:val="single" w:sz="4" w:space="0" w:color="auto"/>
              <w:right w:val="nil"/>
            </w:tcBorders>
            <w:shd w:val="clear" w:color="000000" w:fill="D9E1F2"/>
            <w:noWrap/>
            <w:vAlign w:val="bottom"/>
            <w:hideMark/>
          </w:tcPr>
          <w:p w14:paraId="13E11FA9" w14:textId="77777777" w:rsidR="00CD7CF9" w:rsidRPr="00CD7CF9" w:rsidRDefault="00CD7CF9" w:rsidP="00CD7CF9">
            <w:pPr>
              <w:ind w:firstLineChars="100" w:firstLine="220"/>
              <w:jc w:val="right"/>
              <w:rPr>
                <w:rFonts w:cs="Calibri"/>
                <w:sz w:val="22"/>
                <w:szCs w:val="22"/>
              </w:rPr>
            </w:pPr>
            <w:r w:rsidRPr="00CD7CF9">
              <w:rPr>
                <w:rFonts w:cs="Calibri"/>
                <w:sz w:val="22"/>
                <w:szCs w:val="22"/>
              </w:rPr>
              <w:t>897</w:t>
            </w:r>
          </w:p>
        </w:tc>
        <w:tc>
          <w:tcPr>
            <w:tcW w:w="960" w:type="dxa"/>
            <w:tcBorders>
              <w:top w:val="nil"/>
              <w:left w:val="single" w:sz="4" w:space="0" w:color="auto"/>
              <w:bottom w:val="single" w:sz="4" w:space="0" w:color="auto"/>
              <w:right w:val="nil"/>
            </w:tcBorders>
            <w:shd w:val="clear" w:color="000000" w:fill="D9E1F2"/>
            <w:noWrap/>
            <w:vAlign w:val="bottom"/>
            <w:hideMark/>
          </w:tcPr>
          <w:p w14:paraId="3E885F86" w14:textId="77777777" w:rsidR="00CD7CF9" w:rsidRPr="00CD7CF9" w:rsidRDefault="00CD7CF9" w:rsidP="00CD7CF9">
            <w:pPr>
              <w:jc w:val="center"/>
              <w:rPr>
                <w:rFonts w:cs="Calibri"/>
                <w:sz w:val="22"/>
                <w:szCs w:val="22"/>
              </w:rPr>
            </w:pPr>
            <w:r w:rsidRPr="00CD7CF9">
              <w:rPr>
                <w:rFonts w:cs="Calibri"/>
                <w:sz w:val="22"/>
                <w:szCs w:val="22"/>
              </w:rPr>
              <w:t>0.71</w:t>
            </w:r>
          </w:p>
        </w:tc>
        <w:tc>
          <w:tcPr>
            <w:tcW w:w="1000" w:type="dxa"/>
            <w:tcBorders>
              <w:top w:val="nil"/>
              <w:left w:val="nil"/>
              <w:bottom w:val="single" w:sz="4" w:space="0" w:color="auto"/>
              <w:right w:val="single" w:sz="4" w:space="0" w:color="auto"/>
            </w:tcBorders>
            <w:shd w:val="clear" w:color="000000" w:fill="D9E1F2"/>
            <w:noWrap/>
            <w:vAlign w:val="bottom"/>
            <w:hideMark/>
          </w:tcPr>
          <w:p w14:paraId="10C57C50" w14:textId="77777777" w:rsidR="00CD7CF9" w:rsidRPr="00CD7CF9" w:rsidRDefault="00CD7CF9" w:rsidP="00CD7CF9">
            <w:pPr>
              <w:jc w:val="center"/>
              <w:rPr>
                <w:rFonts w:cs="Calibri"/>
                <w:sz w:val="22"/>
                <w:szCs w:val="22"/>
              </w:rPr>
            </w:pPr>
            <w:r w:rsidRPr="00CD7CF9">
              <w:rPr>
                <w:rFonts w:cs="Calibri"/>
                <w:sz w:val="22"/>
                <w:szCs w:val="22"/>
              </w:rPr>
              <w:t>-0.02</w:t>
            </w:r>
          </w:p>
        </w:tc>
        <w:tc>
          <w:tcPr>
            <w:tcW w:w="960" w:type="dxa"/>
            <w:tcBorders>
              <w:top w:val="nil"/>
              <w:left w:val="nil"/>
              <w:bottom w:val="single" w:sz="4" w:space="0" w:color="auto"/>
              <w:right w:val="nil"/>
            </w:tcBorders>
            <w:shd w:val="clear" w:color="000000" w:fill="D9E1F2"/>
            <w:noWrap/>
            <w:vAlign w:val="bottom"/>
            <w:hideMark/>
          </w:tcPr>
          <w:p w14:paraId="033EBA5F" w14:textId="77777777" w:rsidR="00CD7CF9" w:rsidRPr="00CD7CF9" w:rsidRDefault="00CD7CF9" w:rsidP="00CD7CF9">
            <w:pPr>
              <w:jc w:val="center"/>
              <w:rPr>
                <w:rFonts w:cs="Calibri"/>
                <w:sz w:val="22"/>
                <w:szCs w:val="22"/>
              </w:rPr>
            </w:pPr>
            <w:r w:rsidRPr="00CD7CF9">
              <w:rPr>
                <w:rFonts w:cs="Calibri"/>
                <w:sz w:val="22"/>
                <w:szCs w:val="22"/>
              </w:rPr>
              <w:t>0.79</w:t>
            </w:r>
          </w:p>
        </w:tc>
        <w:tc>
          <w:tcPr>
            <w:tcW w:w="960" w:type="dxa"/>
            <w:tcBorders>
              <w:top w:val="nil"/>
              <w:left w:val="nil"/>
              <w:bottom w:val="single" w:sz="4" w:space="0" w:color="auto"/>
              <w:right w:val="nil"/>
            </w:tcBorders>
            <w:shd w:val="clear" w:color="000000" w:fill="D9E1F2"/>
            <w:noWrap/>
            <w:vAlign w:val="bottom"/>
            <w:hideMark/>
          </w:tcPr>
          <w:p w14:paraId="18806F8F" w14:textId="77777777" w:rsidR="00CD7CF9" w:rsidRPr="00CD7CF9" w:rsidRDefault="00CD7CF9" w:rsidP="00CD7CF9">
            <w:pPr>
              <w:jc w:val="center"/>
              <w:rPr>
                <w:rFonts w:cs="Calibri"/>
                <w:sz w:val="22"/>
                <w:szCs w:val="22"/>
              </w:rPr>
            </w:pPr>
            <w:r w:rsidRPr="00CD7CF9">
              <w:rPr>
                <w:rFonts w:cs="Calibri"/>
                <w:sz w:val="22"/>
                <w:szCs w:val="22"/>
              </w:rPr>
              <w:t>-0.024</w:t>
            </w:r>
          </w:p>
        </w:tc>
        <w:tc>
          <w:tcPr>
            <w:tcW w:w="960" w:type="dxa"/>
            <w:tcBorders>
              <w:top w:val="nil"/>
              <w:left w:val="single" w:sz="4" w:space="0" w:color="auto"/>
              <w:bottom w:val="single" w:sz="4" w:space="0" w:color="auto"/>
              <w:right w:val="single" w:sz="4" w:space="0" w:color="auto"/>
            </w:tcBorders>
            <w:shd w:val="clear" w:color="000000" w:fill="D9E1F2"/>
            <w:noWrap/>
            <w:vAlign w:val="bottom"/>
            <w:hideMark/>
          </w:tcPr>
          <w:p w14:paraId="12447867" w14:textId="77777777" w:rsidR="00CD7CF9" w:rsidRPr="00CD7CF9" w:rsidRDefault="00CD7CF9" w:rsidP="00CD7CF9">
            <w:pPr>
              <w:jc w:val="center"/>
              <w:rPr>
                <w:rFonts w:cs="Calibri"/>
                <w:sz w:val="22"/>
                <w:szCs w:val="22"/>
              </w:rPr>
            </w:pPr>
            <w:r w:rsidRPr="00CD7CF9">
              <w:rPr>
                <w:rFonts w:cs="Calibri"/>
                <w:sz w:val="22"/>
                <w:szCs w:val="22"/>
              </w:rPr>
              <w:t>-3.1%</w:t>
            </w:r>
          </w:p>
        </w:tc>
        <w:tc>
          <w:tcPr>
            <w:tcW w:w="960" w:type="dxa"/>
            <w:tcBorders>
              <w:top w:val="nil"/>
              <w:left w:val="nil"/>
              <w:bottom w:val="single" w:sz="4" w:space="0" w:color="auto"/>
              <w:right w:val="single" w:sz="4" w:space="0" w:color="auto"/>
            </w:tcBorders>
            <w:shd w:val="clear" w:color="000000" w:fill="D9E1F2"/>
            <w:noWrap/>
            <w:vAlign w:val="bottom"/>
            <w:hideMark/>
          </w:tcPr>
          <w:p w14:paraId="67CBBB6B" w14:textId="77777777" w:rsidR="00CD7CF9" w:rsidRPr="00CD7CF9" w:rsidRDefault="00CD7CF9" w:rsidP="00CD7CF9">
            <w:pPr>
              <w:jc w:val="center"/>
              <w:rPr>
                <w:rFonts w:cs="Calibri"/>
                <w:sz w:val="22"/>
                <w:szCs w:val="22"/>
              </w:rPr>
            </w:pPr>
            <w:r w:rsidRPr="00CD7CF9">
              <w:rPr>
                <w:rFonts w:cs="Calibri"/>
                <w:sz w:val="22"/>
                <w:szCs w:val="22"/>
              </w:rPr>
              <w:t>67</w:t>
            </w:r>
          </w:p>
        </w:tc>
      </w:tr>
      <w:tr w:rsidR="00CD7CF9" w:rsidRPr="00CD7CF9" w14:paraId="1E695E9E" w14:textId="77777777" w:rsidTr="00CD7CF9">
        <w:trPr>
          <w:trHeight w:val="300"/>
          <w:jc w:val="center"/>
        </w:trPr>
        <w:tc>
          <w:tcPr>
            <w:tcW w:w="1200" w:type="dxa"/>
            <w:tcBorders>
              <w:top w:val="nil"/>
              <w:left w:val="single" w:sz="4" w:space="0" w:color="auto"/>
              <w:bottom w:val="nil"/>
              <w:right w:val="nil"/>
            </w:tcBorders>
            <w:shd w:val="clear" w:color="000000" w:fill="FFFFFF"/>
            <w:noWrap/>
            <w:vAlign w:val="bottom"/>
            <w:hideMark/>
          </w:tcPr>
          <w:p w14:paraId="2B8D40E9" w14:textId="77777777" w:rsidR="00CD7CF9" w:rsidRPr="00CD7CF9" w:rsidRDefault="00CD7CF9" w:rsidP="00CD7CF9">
            <w:pPr>
              <w:ind w:firstLineChars="100" w:firstLine="220"/>
              <w:jc w:val="right"/>
              <w:rPr>
                <w:rFonts w:cs="Calibri"/>
                <w:sz w:val="22"/>
                <w:szCs w:val="22"/>
              </w:rPr>
            </w:pPr>
            <w:r w:rsidRPr="00CD7CF9">
              <w:rPr>
                <w:rFonts w:cs="Calibri"/>
                <w:sz w:val="22"/>
                <w:szCs w:val="22"/>
              </w:rPr>
              <w:t>May-17</w:t>
            </w:r>
          </w:p>
        </w:tc>
        <w:tc>
          <w:tcPr>
            <w:tcW w:w="960" w:type="dxa"/>
            <w:tcBorders>
              <w:top w:val="nil"/>
              <w:left w:val="single" w:sz="4" w:space="0" w:color="auto"/>
              <w:bottom w:val="nil"/>
              <w:right w:val="single" w:sz="4" w:space="0" w:color="auto"/>
            </w:tcBorders>
            <w:shd w:val="clear" w:color="000000" w:fill="FFFFFF"/>
            <w:noWrap/>
            <w:vAlign w:val="bottom"/>
            <w:hideMark/>
          </w:tcPr>
          <w:p w14:paraId="64FFFB7D" w14:textId="77777777" w:rsidR="00CD7CF9" w:rsidRPr="00CD7CF9" w:rsidRDefault="00CD7CF9" w:rsidP="00CD7CF9">
            <w:pPr>
              <w:jc w:val="center"/>
              <w:rPr>
                <w:rFonts w:cs="Calibri"/>
                <w:sz w:val="22"/>
                <w:szCs w:val="22"/>
              </w:rPr>
            </w:pPr>
            <w:r w:rsidRPr="00CD7CF9">
              <w:rPr>
                <w:rFonts w:cs="Calibri"/>
                <w:sz w:val="22"/>
                <w:szCs w:val="22"/>
              </w:rPr>
              <w:t>All</w:t>
            </w:r>
          </w:p>
        </w:tc>
        <w:tc>
          <w:tcPr>
            <w:tcW w:w="960" w:type="dxa"/>
            <w:tcBorders>
              <w:top w:val="nil"/>
              <w:left w:val="nil"/>
              <w:bottom w:val="nil"/>
              <w:right w:val="nil"/>
            </w:tcBorders>
            <w:shd w:val="clear" w:color="000000" w:fill="FFFFFF"/>
            <w:noWrap/>
            <w:vAlign w:val="bottom"/>
            <w:hideMark/>
          </w:tcPr>
          <w:p w14:paraId="4B5FEA3D" w14:textId="77777777" w:rsidR="00CD7CF9" w:rsidRPr="00CD7CF9" w:rsidRDefault="00CD7CF9" w:rsidP="00CD7CF9">
            <w:pPr>
              <w:ind w:firstLineChars="100" w:firstLine="220"/>
              <w:jc w:val="right"/>
              <w:rPr>
                <w:rFonts w:cs="Calibri"/>
                <w:sz w:val="22"/>
                <w:szCs w:val="22"/>
              </w:rPr>
            </w:pPr>
            <w:r w:rsidRPr="00CD7CF9">
              <w:rPr>
                <w:rFonts w:cs="Calibri"/>
                <w:sz w:val="22"/>
                <w:szCs w:val="22"/>
              </w:rPr>
              <w:t>934</w:t>
            </w:r>
          </w:p>
        </w:tc>
        <w:tc>
          <w:tcPr>
            <w:tcW w:w="960" w:type="dxa"/>
            <w:tcBorders>
              <w:top w:val="nil"/>
              <w:left w:val="single" w:sz="4" w:space="0" w:color="auto"/>
              <w:bottom w:val="nil"/>
              <w:right w:val="nil"/>
            </w:tcBorders>
            <w:shd w:val="clear" w:color="000000" w:fill="FFFFFF"/>
            <w:noWrap/>
            <w:vAlign w:val="bottom"/>
            <w:hideMark/>
          </w:tcPr>
          <w:p w14:paraId="39A9FB5B" w14:textId="77777777" w:rsidR="00CD7CF9" w:rsidRPr="00CD7CF9" w:rsidRDefault="00CD7CF9" w:rsidP="00CD7CF9">
            <w:pPr>
              <w:jc w:val="center"/>
              <w:rPr>
                <w:rFonts w:cs="Calibri"/>
                <w:sz w:val="22"/>
                <w:szCs w:val="22"/>
              </w:rPr>
            </w:pPr>
            <w:r w:rsidRPr="00CD7CF9">
              <w:rPr>
                <w:rFonts w:cs="Calibri"/>
                <w:sz w:val="22"/>
                <w:szCs w:val="22"/>
              </w:rPr>
              <w:t>0.57</w:t>
            </w:r>
          </w:p>
        </w:tc>
        <w:tc>
          <w:tcPr>
            <w:tcW w:w="1000" w:type="dxa"/>
            <w:tcBorders>
              <w:top w:val="nil"/>
              <w:left w:val="nil"/>
              <w:bottom w:val="nil"/>
              <w:right w:val="single" w:sz="4" w:space="0" w:color="auto"/>
            </w:tcBorders>
            <w:shd w:val="clear" w:color="000000" w:fill="FFFFFF"/>
            <w:noWrap/>
            <w:vAlign w:val="bottom"/>
            <w:hideMark/>
          </w:tcPr>
          <w:p w14:paraId="491C99B1" w14:textId="77777777" w:rsidR="00CD7CF9" w:rsidRPr="00CD7CF9" w:rsidRDefault="00CD7CF9" w:rsidP="00CD7CF9">
            <w:pPr>
              <w:jc w:val="center"/>
              <w:rPr>
                <w:rFonts w:cs="Calibri"/>
                <w:sz w:val="22"/>
                <w:szCs w:val="22"/>
              </w:rPr>
            </w:pPr>
            <w:r w:rsidRPr="00CD7CF9">
              <w:rPr>
                <w:rFonts w:cs="Calibri"/>
                <w:sz w:val="22"/>
                <w:szCs w:val="22"/>
              </w:rPr>
              <w:t>0.03</w:t>
            </w:r>
          </w:p>
        </w:tc>
        <w:tc>
          <w:tcPr>
            <w:tcW w:w="960" w:type="dxa"/>
            <w:tcBorders>
              <w:top w:val="nil"/>
              <w:left w:val="nil"/>
              <w:bottom w:val="nil"/>
              <w:right w:val="nil"/>
            </w:tcBorders>
            <w:shd w:val="clear" w:color="000000" w:fill="FFFFFF"/>
            <w:noWrap/>
            <w:vAlign w:val="bottom"/>
            <w:hideMark/>
          </w:tcPr>
          <w:p w14:paraId="6940E7A7" w14:textId="77777777" w:rsidR="00CD7CF9" w:rsidRPr="00CD7CF9" w:rsidRDefault="00CD7CF9" w:rsidP="00CD7CF9">
            <w:pPr>
              <w:jc w:val="center"/>
              <w:rPr>
                <w:rFonts w:cs="Calibri"/>
                <w:sz w:val="22"/>
                <w:szCs w:val="22"/>
              </w:rPr>
            </w:pPr>
            <w:r w:rsidRPr="00CD7CF9">
              <w:rPr>
                <w:rFonts w:cs="Calibri"/>
                <w:sz w:val="22"/>
                <w:szCs w:val="22"/>
              </w:rPr>
              <w:t>0.61</w:t>
            </w:r>
          </w:p>
        </w:tc>
        <w:tc>
          <w:tcPr>
            <w:tcW w:w="960" w:type="dxa"/>
            <w:tcBorders>
              <w:top w:val="nil"/>
              <w:left w:val="nil"/>
              <w:bottom w:val="nil"/>
              <w:right w:val="nil"/>
            </w:tcBorders>
            <w:shd w:val="clear" w:color="000000" w:fill="FFFFFF"/>
            <w:noWrap/>
            <w:vAlign w:val="bottom"/>
            <w:hideMark/>
          </w:tcPr>
          <w:p w14:paraId="7A03CF07" w14:textId="77777777" w:rsidR="00CD7CF9" w:rsidRPr="00CD7CF9" w:rsidRDefault="00CD7CF9" w:rsidP="00CD7CF9">
            <w:pPr>
              <w:jc w:val="center"/>
              <w:rPr>
                <w:rFonts w:cs="Calibri"/>
                <w:sz w:val="22"/>
                <w:szCs w:val="22"/>
              </w:rPr>
            </w:pPr>
            <w:r w:rsidRPr="00CD7CF9">
              <w:rPr>
                <w:rFonts w:cs="Calibri"/>
                <w:sz w:val="22"/>
                <w:szCs w:val="22"/>
              </w:rPr>
              <w:t>0.036</w:t>
            </w:r>
          </w:p>
        </w:tc>
        <w:tc>
          <w:tcPr>
            <w:tcW w:w="960" w:type="dxa"/>
            <w:tcBorders>
              <w:top w:val="nil"/>
              <w:left w:val="single" w:sz="4" w:space="0" w:color="auto"/>
              <w:bottom w:val="nil"/>
              <w:right w:val="single" w:sz="4" w:space="0" w:color="auto"/>
            </w:tcBorders>
            <w:shd w:val="clear" w:color="000000" w:fill="FFFFFF"/>
            <w:noWrap/>
            <w:vAlign w:val="bottom"/>
            <w:hideMark/>
          </w:tcPr>
          <w:p w14:paraId="7F2A25D1" w14:textId="77777777" w:rsidR="00CD7CF9" w:rsidRPr="00CD7CF9" w:rsidRDefault="00CD7CF9" w:rsidP="00CD7CF9">
            <w:pPr>
              <w:jc w:val="center"/>
              <w:rPr>
                <w:rFonts w:cs="Calibri"/>
                <w:sz w:val="22"/>
                <w:szCs w:val="22"/>
              </w:rPr>
            </w:pPr>
            <w:r w:rsidRPr="00CD7CF9">
              <w:rPr>
                <w:rFonts w:cs="Calibri"/>
                <w:sz w:val="22"/>
                <w:szCs w:val="22"/>
              </w:rPr>
              <w:t>6.0%</w:t>
            </w:r>
          </w:p>
        </w:tc>
        <w:tc>
          <w:tcPr>
            <w:tcW w:w="960" w:type="dxa"/>
            <w:tcBorders>
              <w:top w:val="nil"/>
              <w:left w:val="nil"/>
              <w:bottom w:val="nil"/>
              <w:right w:val="single" w:sz="4" w:space="0" w:color="auto"/>
            </w:tcBorders>
            <w:shd w:val="clear" w:color="000000" w:fill="FFFFFF"/>
            <w:noWrap/>
            <w:vAlign w:val="bottom"/>
            <w:hideMark/>
          </w:tcPr>
          <w:p w14:paraId="0EF9C0E2" w14:textId="77777777" w:rsidR="00CD7CF9" w:rsidRPr="00CD7CF9" w:rsidRDefault="00CD7CF9" w:rsidP="00CD7CF9">
            <w:pPr>
              <w:jc w:val="center"/>
              <w:rPr>
                <w:rFonts w:cs="Calibri"/>
                <w:sz w:val="22"/>
                <w:szCs w:val="22"/>
              </w:rPr>
            </w:pPr>
            <w:r w:rsidRPr="00CD7CF9">
              <w:rPr>
                <w:rFonts w:cs="Calibri"/>
                <w:sz w:val="22"/>
                <w:szCs w:val="22"/>
              </w:rPr>
              <w:t>69</w:t>
            </w:r>
          </w:p>
        </w:tc>
      </w:tr>
      <w:tr w:rsidR="00CD7CF9" w:rsidRPr="00CD7CF9" w14:paraId="2F0BBB9C" w14:textId="77777777" w:rsidTr="00CD7CF9">
        <w:trPr>
          <w:trHeight w:val="300"/>
          <w:jc w:val="center"/>
        </w:trPr>
        <w:tc>
          <w:tcPr>
            <w:tcW w:w="1200" w:type="dxa"/>
            <w:tcBorders>
              <w:top w:val="nil"/>
              <w:left w:val="single" w:sz="4" w:space="0" w:color="auto"/>
              <w:bottom w:val="nil"/>
              <w:right w:val="nil"/>
            </w:tcBorders>
            <w:shd w:val="clear" w:color="000000" w:fill="FFFFFF"/>
            <w:noWrap/>
            <w:vAlign w:val="bottom"/>
            <w:hideMark/>
          </w:tcPr>
          <w:p w14:paraId="4B5F95EF" w14:textId="77777777" w:rsidR="00CD7CF9" w:rsidRPr="00CD7CF9" w:rsidRDefault="00CD7CF9" w:rsidP="00CD7CF9">
            <w:pPr>
              <w:ind w:firstLineChars="100" w:firstLine="220"/>
              <w:jc w:val="right"/>
              <w:rPr>
                <w:rFonts w:cs="Calibri"/>
                <w:sz w:val="22"/>
                <w:szCs w:val="22"/>
              </w:rPr>
            </w:pPr>
            <w:r w:rsidRPr="00CD7CF9">
              <w:rPr>
                <w:rFonts w:cs="Calibri"/>
                <w:sz w:val="22"/>
                <w:szCs w:val="22"/>
              </w:rPr>
              <w:t>Jun-17</w:t>
            </w:r>
          </w:p>
        </w:tc>
        <w:tc>
          <w:tcPr>
            <w:tcW w:w="960" w:type="dxa"/>
            <w:tcBorders>
              <w:top w:val="nil"/>
              <w:left w:val="single" w:sz="4" w:space="0" w:color="auto"/>
              <w:bottom w:val="nil"/>
              <w:right w:val="single" w:sz="4" w:space="0" w:color="auto"/>
            </w:tcBorders>
            <w:shd w:val="clear" w:color="000000" w:fill="FFFFFF"/>
            <w:noWrap/>
            <w:vAlign w:val="bottom"/>
            <w:hideMark/>
          </w:tcPr>
          <w:p w14:paraId="2D07D70E" w14:textId="77777777" w:rsidR="00CD7CF9" w:rsidRPr="00CD7CF9" w:rsidRDefault="00CD7CF9" w:rsidP="00CD7CF9">
            <w:pPr>
              <w:jc w:val="center"/>
              <w:rPr>
                <w:rFonts w:cs="Calibri"/>
                <w:sz w:val="22"/>
                <w:szCs w:val="22"/>
              </w:rPr>
            </w:pPr>
            <w:r w:rsidRPr="00CD7CF9">
              <w:rPr>
                <w:rFonts w:cs="Calibri"/>
                <w:sz w:val="22"/>
                <w:szCs w:val="22"/>
              </w:rPr>
              <w:t>All</w:t>
            </w:r>
          </w:p>
        </w:tc>
        <w:tc>
          <w:tcPr>
            <w:tcW w:w="960" w:type="dxa"/>
            <w:tcBorders>
              <w:top w:val="nil"/>
              <w:left w:val="nil"/>
              <w:bottom w:val="nil"/>
              <w:right w:val="nil"/>
            </w:tcBorders>
            <w:shd w:val="clear" w:color="000000" w:fill="FFFFFF"/>
            <w:noWrap/>
            <w:vAlign w:val="bottom"/>
            <w:hideMark/>
          </w:tcPr>
          <w:p w14:paraId="20D1F6C6" w14:textId="77777777" w:rsidR="00CD7CF9" w:rsidRPr="00CD7CF9" w:rsidRDefault="00CD7CF9" w:rsidP="00CD7CF9">
            <w:pPr>
              <w:ind w:firstLineChars="100" w:firstLine="220"/>
              <w:jc w:val="right"/>
              <w:rPr>
                <w:rFonts w:cs="Calibri"/>
                <w:sz w:val="22"/>
                <w:szCs w:val="22"/>
              </w:rPr>
            </w:pPr>
            <w:r w:rsidRPr="00CD7CF9">
              <w:rPr>
                <w:rFonts w:cs="Calibri"/>
                <w:sz w:val="22"/>
                <w:szCs w:val="22"/>
              </w:rPr>
              <w:t>1,002</w:t>
            </w:r>
          </w:p>
        </w:tc>
        <w:tc>
          <w:tcPr>
            <w:tcW w:w="960" w:type="dxa"/>
            <w:tcBorders>
              <w:top w:val="nil"/>
              <w:left w:val="single" w:sz="4" w:space="0" w:color="auto"/>
              <w:bottom w:val="nil"/>
              <w:right w:val="nil"/>
            </w:tcBorders>
            <w:shd w:val="clear" w:color="000000" w:fill="FFFFFF"/>
            <w:noWrap/>
            <w:vAlign w:val="bottom"/>
            <w:hideMark/>
          </w:tcPr>
          <w:p w14:paraId="31F4D6BB" w14:textId="77777777" w:rsidR="00CD7CF9" w:rsidRPr="00CD7CF9" w:rsidRDefault="00CD7CF9" w:rsidP="00CD7CF9">
            <w:pPr>
              <w:jc w:val="center"/>
              <w:rPr>
                <w:rFonts w:cs="Calibri"/>
                <w:sz w:val="22"/>
                <w:szCs w:val="22"/>
              </w:rPr>
            </w:pPr>
            <w:r w:rsidRPr="00CD7CF9">
              <w:rPr>
                <w:rFonts w:cs="Calibri"/>
                <w:sz w:val="22"/>
                <w:szCs w:val="22"/>
              </w:rPr>
              <w:t>0.77</w:t>
            </w:r>
          </w:p>
        </w:tc>
        <w:tc>
          <w:tcPr>
            <w:tcW w:w="1000" w:type="dxa"/>
            <w:tcBorders>
              <w:top w:val="nil"/>
              <w:left w:val="nil"/>
              <w:bottom w:val="nil"/>
              <w:right w:val="single" w:sz="4" w:space="0" w:color="auto"/>
            </w:tcBorders>
            <w:shd w:val="clear" w:color="000000" w:fill="FFFFFF"/>
            <w:noWrap/>
            <w:vAlign w:val="bottom"/>
            <w:hideMark/>
          </w:tcPr>
          <w:p w14:paraId="18DEA4BE" w14:textId="77777777" w:rsidR="00CD7CF9" w:rsidRPr="00CD7CF9" w:rsidRDefault="00CD7CF9" w:rsidP="00CD7CF9">
            <w:pPr>
              <w:jc w:val="center"/>
              <w:rPr>
                <w:rFonts w:cs="Calibri"/>
                <w:sz w:val="22"/>
                <w:szCs w:val="22"/>
              </w:rPr>
            </w:pPr>
            <w:r w:rsidRPr="00CD7CF9">
              <w:rPr>
                <w:rFonts w:cs="Calibri"/>
                <w:sz w:val="22"/>
                <w:szCs w:val="22"/>
              </w:rPr>
              <w:t>0.05</w:t>
            </w:r>
          </w:p>
        </w:tc>
        <w:tc>
          <w:tcPr>
            <w:tcW w:w="960" w:type="dxa"/>
            <w:tcBorders>
              <w:top w:val="nil"/>
              <w:left w:val="nil"/>
              <w:bottom w:val="nil"/>
              <w:right w:val="nil"/>
            </w:tcBorders>
            <w:shd w:val="clear" w:color="000000" w:fill="FFFFFF"/>
            <w:noWrap/>
            <w:vAlign w:val="bottom"/>
            <w:hideMark/>
          </w:tcPr>
          <w:p w14:paraId="3062DA93" w14:textId="77777777" w:rsidR="00CD7CF9" w:rsidRPr="00CD7CF9" w:rsidRDefault="00CD7CF9" w:rsidP="00CD7CF9">
            <w:pPr>
              <w:jc w:val="center"/>
              <w:rPr>
                <w:rFonts w:cs="Calibri"/>
                <w:sz w:val="22"/>
                <w:szCs w:val="22"/>
              </w:rPr>
            </w:pPr>
            <w:r w:rsidRPr="00CD7CF9">
              <w:rPr>
                <w:rFonts w:cs="Calibri"/>
                <w:sz w:val="22"/>
                <w:szCs w:val="22"/>
              </w:rPr>
              <w:t>0.77</w:t>
            </w:r>
          </w:p>
        </w:tc>
        <w:tc>
          <w:tcPr>
            <w:tcW w:w="960" w:type="dxa"/>
            <w:tcBorders>
              <w:top w:val="nil"/>
              <w:left w:val="nil"/>
              <w:bottom w:val="nil"/>
              <w:right w:val="nil"/>
            </w:tcBorders>
            <w:shd w:val="clear" w:color="000000" w:fill="FFFFFF"/>
            <w:noWrap/>
            <w:vAlign w:val="bottom"/>
            <w:hideMark/>
          </w:tcPr>
          <w:p w14:paraId="5B68132A" w14:textId="77777777" w:rsidR="00CD7CF9" w:rsidRPr="00CD7CF9" w:rsidRDefault="00CD7CF9" w:rsidP="00CD7CF9">
            <w:pPr>
              <w:jc w:val="center"/>
              <w:rPr>
                <w:rFonts w:cs="Calibri"/>
                <w:sz w:val="22"/>
                <w:szCs w:val="22"/>
              </w:rPr>
            </w:pPr>
            <w:r w:rsidRPr="00CD7CF9">
              <w:rPr>
                <w:rFonts w:cs="Calibri"/>
                <w:sz w:val="22"/>
                <w:szCs w:val="22"/>
              </w:rPr>
              <w:t>0.046</w:t>
            </w:r>
          </w:p>
        </w:tc>
        <w:tc>
          <w:tcPr>
            <w:tcW w:w="960" w:type="dxa"/>
            <w:tcBorders>
              <w:top w:val="nil"/>
              <w:left w:val="single" w:sz="4" w:space="0" w:color="auto"/>
              <w:bottom w:val="nil"/>
              <w:right w:val="single" w:sz="4" w:space="0" w:color="auto"/>
            </w:tcBorders>
            <w:shd w:val="clear" w:color="000000" w:fill="FFFFFF"/>
            <w:noWrap/>
            <w:vAlign w:val="bottom"/>
            <w:hideMark/>
          </w:tcPr>
          <w:p w14:paraId="42B42353" w14:textId="77777777" w:rsidR="00CD7CF9" w:rsidRPr="00CD7CF9" w:rsidRDefault="00CD7CF9" w:rsidP="00CD7CF9">
            <w:pPr>
              <w:jc w:val="center"/>
              <w:rPr>
                <w:rFonts w:cs="Calibri"/>
                <w:sz w:val="22"/>
                <w:szCs w:val="22"/>
              </w:rPr>
            </w:pPr>
            <w:r w:rsidRPr="00CD7CF9">
              <w:rPr>
                <w:rFonts w:cs="Calibri"/>
                <w:sz w:val="22"/>
                <w:szCs w:val="22"/>
              </w:rPr>
              <w:t>6.0%</w:t>
            </w:r>
          </w:p>
        </w:tc>
        <w:tc>
          <w:tcPr>
            <w:tcW w:w="960" w:type="dxa"/>
            <w:tcBorders>
              <w:top w:val="nil"/>
              <w:left w:val="nil"/>
              <w:bottom w:val="nil"/>
              <w:right w:val="single" w:sz="4" w:space="0" w:color="auto"/>
            </w:tcBorders>
            <w:shd w:val="clear" w:color="000000" w:fill="FFFFFF"/>
            <w:noWrap/>
            <w:vAlign w:val="bottom"/>
            <w:hideMark/>
          </w:tcPr>
          <w:p w14:paraId="13BC04AA" w14:textId="77777777" w:rsidR="00CD7CF9" w:rsidRPr="00CD7CF9" w:rsidRDefault="00CD7CF9" w:rsidP="00CD7CF9">
            <w:pPr>
              <w:jc w:val="center"/>
              <w:rPr>
                <w:rFonts w:cs="Calibri"/>
                <w:sz w:val="22"/>
                <w:szCs w:val="22"/>
              </w:rPr>
            </w:pPr>
            <w:r w:rsidRPr="00CD7CF9">
              <w:rPr>
                <w:rFonts w:cs="Calibri"/>
                <w:sz w:val="22"/>
                <w:szCs w:val="22"/>
              </w:rPr>
              <w:t>74</w:t>
            </w:r>
          </w:p>
        </w:tc>
      </w:tr>
      <w:tr w:rsidR="00CD7CF9" w:rsidRPr="00CD7CF9" w14:paraId="5B60039D" w14:textId="77777777" w:rsidTr="00CD7CF9">
        <w:trPr>
          <w:trHeight w:val="300"/>
          <w:jc w:val="center"/>
        </w:trPr>
        <w:tc>
          <w:tcPr>
            <w:tcW w:w="1200" w:type="dxa"/>
            <w:tcBorders>
              <w:top w:val="nil"/>
              <w:left w:val="single" w:sz="4" w:space="0" w:color="auto"/>
              <w:bottom w:val="nil"/>
              <w:right w:val="nil"/>
            </w:tcBorders>
            <w:shd w:val="clear" w:color="000000" w:fill="FFFFFF"/>
            <w:noWrap/>
            <w:vAlign w:val="bottom"/>
            <w:hideMark/>
          </w:tcPr>
          <w:p w14:paraId="70291EF2" w14:textId="77777777" w:rsidR="00CD7CF9" w:rsidRPr="00CD7CF9" w:rsidRDefault="00CD7CF9" w:rsidP="00CD7CF9">
            <w:pPr>
              <w:ind w:firstLineChars="100" w:firstLine="220"/>
              <w:jc w:val="right"/>
              <w:rPr>
                <w:rFonts w:cs="Calibri"/>
                <w:sz w:val="22"/>
                <w:szCs w:val="22"/>
              </w:rPr>
            </w:pPr>
            <w:r w:rsidRPr="00CD7CF9">
              <w:rPr>
                <w:rFonts w:cs="Calibri"/>
                <w:sz w:val="22"/>
                <w:szCs w:val="22"/>
              </w:rPr>
              <w:t>Jul-17</w:t>
            </w:r>
          </w:p>
        </w:tc>
        <w:tc>
          <w:tcPr>
            <w:tcW w:w="960" w:type="dxa"/>
            <w:tcBorders>
              <w:top w:val="nil"/>
              <w:left w:val="single" w:sz="4" w:space="0" w:color="auto"/>
              <w:bottom w:val="nil"/>
              <w:right w:val="single" w:sz="4" w:space="0" w:color="auto"/>
            </w:tcBorders>
            <w:shd w:val="clear" w:color="000000" w:fill="FFFFFF"/>
            <w:noWrap/>
            <w:vAlign w:val="bottom"/>
            <w:hideMark/>
          </w:tcPr>
          <w:p w14:paraId="74950A7E" w14:textId="77777777" w:rsidR="00CD7CF9" w:rsidRPr="00CD7CF9" w:rsidRDefault="00CD7CF9" w:rsidP="00CD7CF9">
            <w:pPr>
              <w:jc w:val="center"/>
              <w:rPr>
                <w:rFonts w:cs="Calibri"/>
                <w:sz w:val="22"/>
                <w:szCs w:val="22"/>
              </w:rPr>
            </w:pPr>
            <w:r w:rsidRPr="00CD7CF9">
              <w:rPr>
                <w:rFonts w:cs="Calibri"/>
                <w:sz w:val="22"/>
                <w:szCs w:val="22"/>
              </w:rPr>
              <w:t>All</w:t>
            </w:r>
          </w:p>
        </w:tc>
        <w:tc>
          <w:tcPr>
            <w:tcW w:w="960" w:type="dxa"/>
            <w:tcBorders>
              <w:top w:val="nil"/>
              <w:left w:val="nil"/>
              <w:bottom w:val="nil"/>
              <w:right w:val="nil"/>
            </w:tcBorders>
            <w:shd w:val="clear" w:color="000000" w:fill="FFFFFF"/>
            <w:noWrap/>
            <w:vAlign w:val="bottom"/>
            <w:hideMark/>
          </w:tcPr>
          <w:p w14:paraId="14C08939" w14:textId="77777777" w:rsidR="00CD7CF9" w:rsidRPr="00CD7CF9" w:rsidRDefault="00CD7CF9" w:rsidP="00CD7CF9">
            <w:pPr>
              <w:ind w:firstLineChars="100" w:firstLine="220"/>
              <w:jc w:val="right"/>
              <w:rPr>
                <w:rFonts w:cs="Calibri"/>
                <w:sz w:val="22"/>
                <w:szCs w:val="22"/>
              </w:rPr>
            </w:pPr>
            <w:r w:rsidRPr="00CD7CF9">
              <w:rPr>
                <w:rFonts w:cs="Calibri"/>
                <w:sz w:val="22"/>
                <w:szCs w:val="22"/>
              </w:rPr>
              <w:t>1,130</w:t>
            </w:r>
          </w:p>
        </w:tc>
        <w:tc>
          <w:tcPr>
            <w:tcW w:w="960" w:type="dxa"/>
            <w:tcBorders>
              <w:top w:val="nil"/>
              <w:left w:val="single" w:sz="4" w:space="0" w:color="auto"/>
              <w:bottom w:val="nil"/>
              <w:right w:val="nil"/>
            </w:tcBorders>
            <w:shd w:val="clear" w:color="000000" w:fill="FFFFFF"/>
            <w:noWrap/>
            <w:vAlign w:val="bottom"/>
            <w:hideMark/>
          </w:tcPr>
          <w:p w14:paraId="395D1684" w14:textId="77777777" w:rsidR="00CD7CF9" w:rsidRPr="00CD7CF9" w:rsidRDefault="00CD7CF9" w:rsidP="00CD7CF9">
            <w:pPr>
              <w:jc w:val="center"/>
              <w:rPr>
                <w:rFonts w:cs="Calibri"/>
                <w:sz w:val="22"/>
                <w:szCs w:val="22"/>
              </w:rPr>
            </w:pPr>
            <w:r w:rsidRPr="00CD7CF9">
              <w:rPr>
                <w:rFonts w:cs="Calibri"/>
                <w:sz w:val="22"/>
                <w:szCs w:val="22"/>
              </w:rPr>
              <w:t>1.19</w:t>
            </w:r>
          </w:p>
        </w:tc>
        <w:tc>
          <w:tcPr>
            <w:tcW w:w="1000" w:type="dxa"/>
            <w:tcBorders>
              <w:top w:val="nil"/>
              <w:left w:val="nil"/>
              <w:bottom w:val="nil"/>
              <w:right w:val="single" w:sz="4" w:space="0" w:color="auto"/>
            </w:tcBorders>
            <w:shd w:val="clear" w:color="000000" w:fill="FFFFFF"/>
            <w:noWrap/>
            <w:vAlign w:val="bottom"/>
            <w:hideMark/>
          </w:tcPr>
          <w:p w14:paraId="43359261" w14:textId="77777777" w:rsidR="00CD7CF9" w:rsidRPr="00CD7CF9" w:rsidRDefault="00CD7CF9" w:rsidP="00CD7CF9">
            <w:pPr>
              <w:jc w:val="center"/>
              <w:rPr>
                <w:rFonts w:cs="Calibri"/>
                <w:sz w:val="22"/>
                <w:szCs w:val="22"/>
              </w:rPr>
            </w:pPr>
            <w:r w:rsidRPr="00CD7CF9">
              <w:rPr>
                <w:rFonts w:cs="Calibri"/>
                <w:sz w:val="22"/>
                <w:szCs w:val="22"/>
              </w:rPr>
              <w:t>0.07</w:t>
            </w:r>
          </w:p>
        </w:tc>
        <w:tc>
          <w:tcPr>
            <w:tcW w:w="960" w:type="dxa"/>
            <w:tcBorders>
              <w:top w:val="nil"/>
              <w:left w:val="nil"/>
              <w:bottom w:val="nil"/>
              <w:right w:val="nil"/>
            </w:tcBorders>
            <w:shd w:val="clear" w:color="000000" w:fill="FFFFFF"/>
            <w:noWrap/>
            <w:vAlign w:val="bottom"/>
            <w:hideMark/>
          </w:tcPr>
          <w:p w14:paraId="793D7790" w14:textId="77777777" w:rsidR="00CD7CF9" w:rsidRPr="00CD7CF9" w:rsidRDefault="00CD7CF9" w:rsidP="00CD7CF9">
            <w:pPr>
              <w:jc w:val="center"/>
              <w:rPr>
                <w:rFonts w:cs="Calibri"/>
                <w:sz w:val="22"/>
                <w:szCs w:val="22"/>
              </w:rPr>
            </w:pPr>
            <w:r w:rsidRPr="00CD7CF9">
              <w:rPr>
                <w:rFonts w:cs="Calibri"/>
                <w:sz w:val="22"/>
                <w:szCs w:val="22"/>
              </w:rPr>
              <w:t>1.06</w:t>
            </w:r>
          </w:p>
        </w:tc>
        <w:tc>
          <w:tcPr>
            <w:tcW w:w="960" w:type="dxa"/>
            <w:tcBorders>
              <w:top w:val="nil"/>
              <w:left w:val="nil"/>
              <w:bottom w:val="nil"/>
              <w:right w:val="nil"/>
            </w:tcBorders>
            <w:shd w:val="clear" w:color="000000" w:fill="FFFFFF"/>
            <w:noWrap/>
            <w:vAlign w:val="bottom"/>
            <w:hideMark/>
          </w:tcPr>
          <w:p w14:paraId="4620D7D5" w14:textId="77777777" w:rsidR="00CD7CF9" w:rsidRPr="00CD7CF9" w:rsidRDefault="00CD7CF9" w:rsidP="00CD7CF9">
            <w:pPr>
              <w:jc w:val="center"/>
              <w:rPr>
                <w:rFonts w:cs="Calibri"/>
                <w:sz w:val="22"/>
                <w:szCs w:val="22"/>
              </w:rPr>
            </w:pPr>
            <w:r w:rsidRPr="00CD7CF9">
              <w:rPr>
                <w:rFonts w:cs="Calibri"/>
                <w:sz w:val="22"/>
                <w:szCs w:val="22"/>
              </w:rPr>
              <w:t>0.064</w:t>
            </w:r>
          </w:p>
        </w:tc>
        <w:tc>
          <w:tcPr>
            <w:tcW w:w="960" w:type="dxa"/>
            <w:tcBorders>
              <w:top w:val="nil"/>
              <w:left w:val="single" w:sz="4" w:space="0" w:color="auto"/>
              <w:bottom w:val="nil"/>
              <w:right w:val="single" w:sz="4" w:space="0" w:color="auto"/>
            </w:tcBorders>
            <w:shd w:val="clear" w:color="000000" w:fill="FFFFFF"/>
            <w:noWrap/>
            <w:vAlign w:val="bottom"/>
            <w:hideMark/>
          </w:tcPr>
          <w:p w14:paraId="7504DE6B" w14:textId="77777777" w:rsidR="00CD7CF9" w:rsidRPr="00CD7CF9" w:rsidRDefault="00CD7CF9" w:rsidP="00CD7CF9">
            <w:pPr>
              <w:jc w:val="center"/>
              <w:rPr>
                <w:rFonts w:cs="Calibri"/>
                <w:sz w:val="22"/>
                <w:szCs w:val="22"/>
              </w:rPr>
            </w:pPr>
            <w:r w:rsidRPr="00CD7CF9">
              <w:rPr>
                <w:rFonts w:cs="Calibri"/>
                <w:sz w:val="22"/>
                <w:szCs w:val="22"/>
              </w:rPr>
              <w:t>6.0%</w:t>
            </w:r>
          </w:p>
        </w:tc>
        <w:tc>
          <w:tcPr>
            <w:tcW w:w="960" w:type="dxa"/>
            <w:tcBorders>
              <w:top w:val="nil"/>
              <w:left w:val="nil"/>
              <w:bottom w:val="nil"/>
              <w:right w:val="single" w:sz="4" w:space="0" w:color="auto"/>
            </w:tcBorders>
            <w:shd w:val="clear" w:color="000000" w:fill="FFFFFF"/>
            <w:noWrap/>
            <w:vAlign w:val="bottom"/>
            <w:hideMark/>
          </w:tcPr>
          <w:p w14:paraId="56D5991E" w14:textId="77777777" w:rsidR="00CD7CF9" w:rsidRPr="00CD7CF9" w:rsidRDefault="00CD7CF9" w:rsidP="00CD7CF9">
            <w:pPr>
              <w:jc w:val="center"/>
              <w:rPr>
                <w:rFonts w:cs="Calibri"/>
                <w:sz w:val="22"/>
                <w:szCs w:val="22"/>
              </w:rPr>
            </w:pPr>
            <w:r w:rsidRPr="00CD7CF9">
              <w:rPr>
                <w:rFonts w:cs="Calibri"/>
                <w:sz w:val="22"/>
                <w:szCs w:val="22"/>
              </w:rPr>
              <w:t>80</w:t>
            </w:r>
          </w:p>
        </w:tc>
      </w:tr>
      <w:tr w:rsidR="00CD7CF9" w:rsidRPr="00CD7CF9" w14:paraId="5F6FBA26" w14:textId="77777777" w:rsidTr="00CD7CF9">
        <w:trPr>
          <w:trHeight w:val="300"/>
          <w:jc w:val="center"/>
        </w:trPr>
        <w:tc>
          <w:tcPr>
            <w:tcW w:w="1200" w:type="dxa"/>
            <w:tcBorders>
              <w:top w:val="nil"/>
              <w:left w:val="single" w:sz="4" w:space="0" w:color="auto"/>
              <w:bottom w:val="nil"/>
              <w:right w:val="nil"/>
            </w:tcBorders>
            <w:shd w:val="clear" w:color="000000" w:fill="FFFFFF"/>
            <w:noWrap/>
            <w:vAlign w:val="bottom"/>
            <w:hideMark/>
          </w:tcPr>
          <w:p w14:paraId="0D779792" w14:textId="77777777" w:rsidR="00CD7CF9" w:rsidRPr="00CD7CF9" w:rsidRDefault="00CD7CF9" w:rsidP="00CD7CF9">
            <w:pPr>
              <w:ind w:firstLineChars="100" w:firstLine="220"/>
              <w:jc w:val="right"/>
              <w:rPr>
                <w:rFonts w:cs="Calibri"/>
                <w:sz w:val="22"/>
                <w:szCs w:val="22"/>
              </w:rPr>
            </w:pPr>
            <w:r w:rsidRPr="00CD7CF9">
              <w:rPr>
                <w:rFonts w:cs="Calibri"/>
                <w:sz w:val="22"/>
                <w:szCs w:val="22"/>
              </w:rPr>
              <w:t>Aug-17</w:t>
            </w:r>
          </w:p>
        </w:tc>
        <w:tc>
          <w:tcPr>
            <w:tcW w:w="960" w:type="dxa"/>
            <w:tcBorders>
              <w:top w:val="nil"/>
              <w:left w:val="single" w:sz="4" w:space="0" w:color="auto"/>
              <w:bottom w:val="nil"/>
              <w:right w:val="single" w:sz="4" w:space="0" w:color="auto"/>
            </w:tcBorders>
            <w:shd w:val="clear" w:color="000000" w:fill="FFFFFF"/>
            <w:noWrap/>
            <w:vAlign w:val="bottom"/>
            <w:hideMark/>
          </w:tcPr>
          <w:p w14:paraId="3FFE8758" w14:textId="77777777" w:rsidR="00CD7CF9" w:rsidRPr="00CD7CF9" w:rsidRDefault="00CD7CF9" w:rsidP="00CD7CF9">
            <w:pPr>
              <w:jc w:val="center"/>
              <w:rPr>
                <w:rFonts w:cs="Calibri"/>
                <w:sz w:val="22"/>
                <w:szCs w:val="22"/>
              </w:rPr>
            </w:pPr>
            <w:r w:rsidRPr="00CD7CF9">
              <w:rPr>
                <w:rFonts w:cs="Calibri"/>
                <w:sz w:val="22"/>
                <w:szCs w:val="22"/>
              </w:rPr>
              <w:t>All</w:t>
            </w:r>
          </w:p>
        </w:tc>
        <w:tc>
          <w:tcPr>
            <w:tcW w:w="960" w:type="dxa"/>
            <w:tcBorders>
              <w:top w:val="nil"/>
              <w:left w:val="nil"/>
              <w:bottom w:val="nil"/>
              <w:right w:val="nil"/>
            </w:tcBorders>
            <w:shd w:val="clear" w:color="000000" w:fill="FFFFFF"/>
            <w:noWrap/>
            <w:vAlign w:val="bottom"/>
            <w:hideMark/>
          </w:tcPr>
          <w:p w14:paraId="229B0380" w14:textId="77777777" w:rsidR="00CD7CF9" w:rsidRPr="00CD7CF9" w:rsidRDefault="00CD7CF9" w:rsidP="00CD7CF9">
            <w:pPr>
              <w:ind w:firstLineChars="100" w:firstLine="220"/>
              <w:jc w:val="right"/>
              <w:rPr>
                <w:rFonts w:cs="Calibri"/>
                <w:sz w:val="22"/>
                <w:szCs w:val="22"/>
              </w:rPr>
            </w:pPr>
            <w:r w:rsidRPr="00CD7CF9">
              <w:rPr>
                <w:rFonts w:cs="Calibri"/>
                <w:sz w:val="22"/>
                <w:szCs w:val="22"/>
              </w:rPr>
              <w:t>1,412</w:t>
            </w:r>
          </w:p>
        </w:tc>
        <w:tc>
          <w:tcPr>
            <w:tcW w:w="960" w:type="dxa"/>
            <w:tcBorders>
              <w:top w:val="nil"/>
              <w:left w:val="single" w:sz="4" w:space="0" w:color="auto"/>
              <w:bottom w:val="nil"/>
              <w:right w:val="nil"/>
            </w:tcBorders>
            <w:shd w:val="clear" w:color="000000" w:fill="FFFFFF"/>
            <w:noWrap/>
            <w:vAlign w:val="bottom"/>
            <w:hideMark/>
          </w:tcPr>
          <w:p w14:paraId="2FE218BF" w14:textId="77777777" w:rsidR="00CD7CF9" w:rsidRPr="00CD7CF9" w:rsidRDefault="00CD7CF9" w:rsidP="00CD7CF9">
            <w:pPr>
              <w:jc w:val="center"/>
              <w:rPr>
                <w:rFonts w:cs="Calibri"/>
                <w:sz w:val="22"/>
                <w:szCs w:val="22"/>
              </w:rPr>
            </w:pPr>
            <w:r w:rsidRPr="00CD7CF9">
              <w:rPr>
                <w:rFonts w:cs="Calibri"/>
                <w:sz w:val="22"/>
                <w:szCs w:val="22"/>
              </w:rPr>
              <w:t>1.46</w:t>
            </w:r>
          </w:p>
        </w:tc>
        <w:tc>
          <w:tcPr>
            <w:tcW w:w="1000" w:type="dxa"/>
            <w:tcBorders>
              <w:top w:val="nil"/>
              <w:left w:val="nil"/>
              <w:bottom w:val="nil"/>
              <w:right w:val="single" w:sz="4" w:space="0" w:color="auto"/>
            </w:tcBorders>
            <w:shd w:val="clear" w:color="000000" w:fill="FFFFFF"/>
            <w:noWrap/>
            <w:vAlign w:val="bottom"/>
            <w:hideMark/>
          </w:tcPr>
          <w:p w14:paraId="0FDC29A9" w14:textId="77777777" w:rsidR="00CD7CF9" w:rsidRPr="00CD7CF9" w:rsidRDefault="00CD7CF9" w:rsidP="00CD7CF9">
            <w:pPr>
              <w:jc w:val="center"/>
              <w:rPr>
                <w:rFonts w:cs="Calibri"/>
                <w:sz w:val="22"/>
                <w:szCs w:val="22"/>
              </w:rPr>
            </w:pPr>
            <w:r w:rsidRPr="00CD7CF9">
              <w:rPr>
                <w:rFonts w:cs="Calibri"/>
                <w:sz w:val="22"/>
                <w:szCs w:val="22"/>
              </w:rPr>
              <w:t>0.09</w:t>
            </w:r>
          </w:p>
        </w:tc>
        <w:tc>
          <w:tcPr>
            <w:tcW w:w="960" w:type="dxa"/>
            <w:tcBorders>
              <w:top w:val="nil"/>
              <w:left w:val="nil"/>
              <w:bottom w:val="nil"/>
              <w:right w:val="nil"/>
            </w:tcBorders>
            <w:shd w:val="clear" w:color="000000" w:fill="FFFFFF"/>
            <w:noWrap/>
            <w:vAlign w:val="bottom"/>
            <w:hideMark/>
          </w:tcPr>
          <w:p w14:paraId="0C36FCCF" w14:textId="77777777" w:rsidR="00CD7CF9" w:rsidRPr="00CD7CF9" w:rsidRDefault="00CD7CF9" w:rsidP="00CD7CF9">
            <w:pPr>
              <w:jc w:val="center"/>
              <w:rPr>
                <w:rFonts w:cs="Calibri"/>
                <w:sz w:val="22"/>
                <w:szCs w:val="22"/>
              </w:rPr>
            </w:pPr>
            <w:r w:rsidRPr="00CD7CF9">
              <w:rPr>
                <w:rFonts w:cs="Calibri"/>
                <w:sz w:val="22"/>
                <w:szCs w:val="22"/>
              </w:rPr>
              <w:t>1.04</w:t>
            </w:r>
          </w:p>
        </w:tc>
        <w:tc>
          <w:tcPr>
            <w:tcW w:w="960" w:type="dxa"/>
            <w:tcBorders>
              <w:top w:val="nil"/>
              <w:left w:val="nil"/>
              <w:bottom w:val="nil"/>
              <w:right w:val="nil"/>
            </w:tcBorders>
            <w:shd w:val="clear" w:color="000000" w:fill="FFFFFF"/>
            <w:noWrap/>
            <w:vAlign w:val="bottom"/>
            <w:hideMark/>
          </w:tcPr>
          <w:p w14:paraId="348D3E75" w14:textId="77777777" w:rsidR="00CD7CF9" w:rsidRPr="00CD7CF9" w:rsidRDefault="00CD7CF9" w:rsidP="00CD7CF9">
            <w:pPr>
              <w:jc w:val="center"/>
              <w:rPr>
                <w:rFonts w:cs="Calibri"/>
                <w:sz w:val="22"/>
                <w:szCs w:val="22"/>
              </w:rPr>
            </w:pPr>
            <w:r w:rsidRPr="00CD7CF9">
              <w:rPr>
                <w:rFonts w:cs="Calibri"/>
                <w:sz w:val="22"/>
                <w:szCs w:val="22"/>
              </w:rPr>
              <w:t>0.063</w:t>
            </w:r>
          </w:p>
        </w:tc>
        <w:tc>
          <w:tcPr>
            <w:tcW w:w="960" w:type="dxa"/>
            <w:tcBorders>
              <w:top w:val="nil"/>
              <w:left w:val="single" w:sz="4" w:space="0" w:color="auto"/>
              <w:bottom w:val="nil"/>
              <w:right w:val="single" w:sz="4" w:space="0" w:color="auto"/>
            </w:tcBorders>
            <w:shd w:val="clear" w:color="000000" w:fill="FFFFFF"/>
            <w:noWrap/>
            <w:vAlign w:val="bottom"/>
            <w:hideMark/>
          </w:tcPr>
          <w:p w14:paraId="29A1DD41" w14:textId="77777777" w:rsidR="00CD7CF9" w:rsidRPr="00CD7CF9" w:rsidRDefault="00CD7CF9" w:rsidP="00CD7CF9">
            <w:pPr>
              <w:jc w:val="center"/>
              <w:rPr>
                <w:rFonts w:cs="Calibri"/>
                <w:sz w:val="22"/>
                <w:szCs w:val="22"/>
              </w:rPr>
            </w:pPr>
            <w:r w:rsidRPr="00CD7CF9">
              <w:rPr>
                <w:rFonts w:cs="Calibri"/>
                <w:sz w:val="22"/>
                <w:szCs w:val="22"/>
              </w:rPr>
              <w:t>6.1%</w:t>
            </w:r>
          </w:p>
        </w:tc>
        <w:tc>
          <w:tcPr>
            <w:tcW w:w="960" w:type="dxa"/>
            <w:tcBorders>
              <w:top w:val="nil"/>
              <w:left w:val="nil"/>
              <w:bottom w:val="nil"/>
              <w:right w:val="single" w:sz="4" w:space="0" w:color="auto"/>
            </w:tcBorders>
            <w:shd w:val="clear" w:color="000000" w:fill="FFFFFF"/>
            <w:noWrap/>
            <w:vAlign w:val="bottom"/>
            <w:hideMark/>
          </w:tcPr>
          <w:p w14:paraId="41B1DCC8" w14:textId="77777777" w:rsidR="00CD7CF9" w:rsidRPr="00CD7CF9" w:rsidRDefault="00CD7CF9" w:rsidP="00CD7CF9">
            <w:pPr>
              <w:jc w:val="center"/>
              <w:rPr>
                <w:rFonts w:cs="Calibri"/>
                <w:sz w:val="22"/>
                <w:szCs w:val="22"/>
              </w:rPr>
            </w:pPr>
            <w:r w:rsidRPr="00CD7CF9">
              <w:rPr>
                <w:rFonts w:cs="Calibri"/>
                <w:sz w:val="22"/>
                <w:szCs w:val="22"/>
              </w:rPr>
              <w:t>79</w:t>
            </w:r>
          </w:p>
        </w:tc>
      </w:tr>
      <w:tr w:rsidR="00CD7CF9" w:rsidRPr="00CD7CF9" w14:paraId="1610CF93" w14:textId="77777777" w:rsidTr="00CD7CF9">
        <w:trPr>
          <w:trHeight w:val="300"/>
          <w:jc w:val="center"/>
        </w:trPr>
        <w:tc>
          <w:tcPr>
            <w:tcW w:w="1200" w:type="dxa"/>
            <w:tcBorders>
              <w:top w:val="nil"/>
              <w:left w:val="single" w:sz="4" w:space="0" w:color="auto"/>
              <w:bottom w:val="single" w:sz="4" w:space="0" w:color="auto"/>
              <w:right w:val="single" w:sz="4" w:space="0" w:color="auto"/>
            </w:tcBorders>
            <w:shd w:val="clear" w:color="000000" w:fill="FFFFFF"/>
            <w:noWrap/>
            <w:vAlign w:val="bottom"/>
            <w:hideMark/>
          </w:tcPr>
          <w:p w14:paraId="5C45274F" w14:textId="77777777" w:rsidR="00CD7CF9" w:rsidRPr="00CD7CF9" w:rsidRDefault="00CD7CF9" w:rsidP="00CD7CF9">
            <w:pPr>
              <w:ind w:firstLineChars="100" w:firstLine="220"/>
              <w:jc w:val="right"/>
              <w:rPr>
                <w:rFonts w:cs="Calibri"/>
                <w:sz w:val="22"/>
                <w:szCs w:val="22"/>
              </w:rPr>
            </w:pPr>
            <w:r w:rsidRPr="00CD7CF9">
              <w:rPr>
                <w:rFonts w:cs="Calibri"/>
                <w:sz w:val="22"/>
                <w:szCs w:val="22"/>
              </w:rPr>
              <w:t>Sep-17</w:t>
            </w:r>
          </w:p>
        </w:tc>
        <w:tc>
          <w:tcPr>
            <w:tcW w:w="960" w:type="dxa"/>
            <w:tcBorders>
              <w:top w:val="nil"/>
              <w:left w:val="nil"/>
              <w:bottom w:val="single" w:sz="4" w:space="0" w:color="auto"/>
              <w:right w:val="single" w:sz="4" w:space="0" w:color="auto"/>
            </w:tcBorders>
            <w:shd w:val="clear" w:color="000000" w:fill="FFFFFF"/>
            <w:noWrap/>
            <w:vAlign w:val="bottom"/>
            <w:hideMark/>
          </w:tcPr>
          <w:p w14:paraId="6401E3EE" w14:textId="77777777" w:rsidR="00CD7CF9" w:rsidRPr="00CD7CF9" w:rsidRDefault="00CD7CF9" w:rsidP="00CD7CF9">
            <w:pPr>
              <w:jc w:val="center"/>
              <w:rPr>
                <w:rFonts w:cs="Calibri"/>
                <w:sz w:val="22"/>
                <w:szCs w:val="22"/>
              </w:rPr>
            </w:pPr>
            <w:r w:rsidRPr="00CD7CF9">
              <w:rPr>
                <w:rFonts w:cs="Calibri"/>
                <w:sz w:val="22"/>
                <w:szCs w:val="22"/>
              </w:rPr>
              <w:t>All</w:t>
            </w:r>
          </w:p>
        </w:tc>
        <w:tc>
          <w:tcPr>
            <w:tcW w:w="960" w:type="dxa"/>
            <w:tcBorders>
              <w:top w:val="nil"/>
              <w:left w:val="nil"/>
              <w:bottom w:val="single" w:sz="4" w:space="0" w:color="auto"/>
              <w:right w:val="nil"/>
            </w:tcBorders>
            <w:shd w:val="clear" w:color="000000" w:fill="FFFFFF"/>
            <w:noWrap/>
            <w:vAlign w:val="bottom"/>
            <w:hideMark/>
          </w:tcPr>
          <w:p w14:paraId="37920052" w14:textId="77777777" w:rsidR="00CD7CF9" w:rsidRPr="00CD7CF9" w:rsidRDefault="00CD7CF9" w:rsidP="00CD7CF9">
            <w:pPr>
              <w:ind w:firstLineChars="100" w:firstLine="220"/>
              <w:jc w:val="right"/>
              <w:rPr>
                <w:rFonts w:cs="Calibri"/>
                <w:sz w:val="22"/>
                <w:szCs w:val="22"/>
              </w:rPr>
            </w:pPr>
            <w:r w:rsidRPr="00CD7CF9">
              <w:rPr>
                <w:rFonts w:cs="Calibri"/>
                <w:sz w:val="22"/>
                <w:szCs w:val="22"/>
              </w:rPr>
              <w:t>1,559</w:t>
            </w:r>
          </w:p>
        </w:tc>
        <w:tc>
          <w:tcPr>
            <w:tcW w:w="960" w:type="dxa"/>
            <w:tcBorders>
              <w:top w:val="nil"/>
              <w:left w:val="single" w:sz="4" w:space="0" w:color="auto"/>
              <w:bottom w:val="single" w:sz="4" w:space="0" w:color="auto"/>
              <w:right w:val="nil"/>
            </w:tcBorders>
            <w:shd w:val="clear" w:color="000000" w:fill="FFFFFF"/>
            <w:noWrap/>
            <w:vAlign w:val="bottom"/>
            <w:hideMark/>
          </w:tcPr>
          <w:p w14:paraId="772321FA" w14:textId="77777777" w:rsidR="00CD7CF9" w:rsidRPr="00CD7CF9" w:rsidRDefault="00CD7CF9" w:rsidP="00CD7CF9">
            <w:pPr>
              <w:jc w:val="center"/>
              <w:rPr>
                <w:rFonts w:cs="Calibri"/>
                <w:sz w:val="22"/>
                <w:szCs w:val="22"/>
              </w:rPr>
            </w:pPr>
            <w:r w:rsidRPr="00CD7CF9">
              <w:rPr>
                <w:rFonts w:cs="Calibri"/>
                <w:sz w:val="22"/>
                <w:szCs w:val="22"/>
              </w:rPr>
              <w:t>1.37</w:t>
            </w:r>
          </w:p>
        </w:tc>
        <w:tc>
          <w:tcPr>
            <w:tcW w:w="1000" w:type="dxa"/>
            <w:tcBorders>
              <w:top w:val="nil"/>
              <w:left w:val="nil"/>
              <w:bottom w:val="single" w:sz="4" w:space="0" w:color="auto"/>
              <w:right w:val="single" w:sz="4" w:space="0" w:color="auto"/>
            </w:tcBorders>
            <w:shd w:val="clear" w:color="000000" w:fill="FFFFFF"/>
            <w:noWrap/>
            <w:vAlign w:val="bottom"/>
            <w:hideMark/>
          </w:tcPr>
          <w:p w14:paraId="19DB6C02" w14:textId="77777777" w:rsidR="00CD7CF9" w:rsidRPr="00CD7CF9" w:rsidRDefault="00CD7CF9" w:rsidP="00CD7CF9">
            <w:pPr>
              <w:jc w:val="center"/>
              <w:rPr>
                <w:rFonts w:cs="Calibri"/>
                <w:sz w:val="22"/>
                <w:szCs w:val="22"/>
              </w:rPr>
            </w:pPr>
            <w:r w:rsidRPr="00CD7CF9">
              <w:rPr>
                <w:rFonts w:cs="Calibri"/>
                <w:sz w:val="22"/>
                <w:szCs w:val="22"/>
              </w:rPr>
              <w:t>0.08</w:t>
            </w:r>
          </w:p>
        </w:tc>
        <w:tc>
          <w:tcPr>
            <w:tcW w:w="960" w:type="dxa"/>
            <w:tcBorders>
              <w:top w:val="nil"/>
              <w:left w:val="nil"/>
              <w:bottom w:val="single" w:sz="4" w:space="0" w:color="auto"/>
              <w:right w:val="nil"/>
            </w:tcBorders>
            <w:shd w:val="clear" w:color="000000" w:fill="FFFFFF"/>
            <w:noWrap/>
            <w:vAlign w:val="bottom"/>
            <w:hideMark/>
          </w:tcPr>
          <w:p w14:paraId="11CB49B1" w14:textId="77777777" w:rsidR="00CD7CF9" w:rsidRPr="00CD7CF9" w:rsidRDefault="00CD7CF9" w:rsidP="00CD7CF9">
            <w:pPr>
              <w:jc w:val="center"/>
              <w:rPr>
                <w:rFonts w:cs="Calibri"/>
                <w:sz w:val="22"/>
                <w:szCs w:val="22"/>
              </w:rPr>
            </w:pPr>
            <w:r w:rsidRPr="00CD7CF9">
              <w:rPr>
                <w:rFonts w:cs="Calibri"/>
                <w:sz w:val="22"/>
                <w:szCs w:val="22"/>
              </w:rPr>
              <w:t>0.88</w:t>
            </w:r>
          </w:p>
        </w:tc>
        <w:tc>
          <w:tcPr>
            <w:tcW w:w="960" w:type="dxa"/>
            <w:tcBorders>
              <w:top w:val="nil"/>
              <w:left w:val="nil"/>
              <w:bottom w:val="single" w:sz="4" w:space="0" w:color="auto"/>
              <w:right w:val="nil"/>
            </w:tcBorders>
            <w:shd w:val="clear" w:color="000000" w:fill="FFFFFF"/>
            <w:noWrap/>
            <w:vAlign w:val="bottom"/>
            <w:hideMark/>
          </w:tcPr>
          <w:p w14:paraId="3ED6D149" w14:textId="77777777" w:rsidR="00CD7CF9" w:rsidRPr="00CD7CF9" w:rsidRDefault="00CD7CF9" w:rsidP="00CD7CF9">
            <w:pPr>
              <w:jc w:val="center"/>
              <w:rPr>
                <w:rFonts w:cs="Calibri"/>
                <w:sz w:val="22"/>
                <w:szCs w:val="22"/>
              </w:rPr>
            </w:pPr>
            <w:r w:rsidRPr="00CD7CF9">
              <w:rPr>
                <w:rFonts w:cs="Calibri"/>
                <w:sz w:val="22"/>
                <w:szCs w:val="22"/>
              </w:rPr>
              <w:t>0.053</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5227AA05" w14:textId="77777777" w:rsidR="00CD7CF9" w:rsidRPr="00CD7CF9" w:rsidRDefault="00CD7CF9" w:rsidP="00CD7CF9">
            <w:pPr>
              <w:jc w:val="center"/>
              <w:rPr>
                <w:rFonts w:cs="Calibri"/>
                <w:sz w:val="22"/>
                <w:szCs w:val="22"/>
              </w:rPr>
            </w:pPr>
            <w:r w:rsidRPr="00CD7CF9">
              <w:rPr>
                <w:rFonts w:cs="Calibri"/>
                <w:sz w:val="22"/>
                <w:szCs w:val="22"/>
              </w:rPr>
              <w:t>6.0%</w:t>
            </w:r>
          </w:p>
        </w:tc>
        <w:tc>
          <w:tcPr>
            <w:tcW w:w="960" w:type="dxa"/>
            <w:tcBorders>
              <w:top w:val="nil"/>
              <w:left w:val="nil"/>
              <w:bottom w:val="single" w:sz="4" w:space="0" w:color="auto"/>
              <w:right w:val="single" w:sz="4" w:space="0" w:color="auto"/>
            </w:tcBorders>
            <w:shd w:val="clear" w:color="000000" w:fill="FFFFFF"/>
            <w:noWrap/>
            <w:vAlign w:val="bottom"/>
            <w:hideMark/>
          </w:tcPr>
          <w:p w14:paraId="56B26D1D" w14:textId="77777777" w:rsidR="00CD7CF9" w:rsidRPr="00CD7CF9" w:rsidRDefault="00CD7CF9" w:rsidP="00CD7CF9">
            <w:pPr>
              <w:jc w:val="center"/>
              <w:rPr>
                <w:rFonts w:cs="Calibri"/>
                <w:sz w:val="22"/>
                <w:szCs w:val="22"/>
              </w:rPr>
            </w:pPr>
            <w:r w:rsidRPr="00CD7CF9">
              <w:rPr>
                <w:rFonts w:cs="Calibri"/>
                <w:sz w:val="22"/>
                <w:szCs w:val="22"/>
              </w:rPr>
              <w:t>78</w:t>
            </w:r>
          </w:p>
        </w:tc>
      </w:tr>
    </w:tbl>
    <w:p w14:paraId="36735010" w14:textId="77777777" w:rsidR="00CD7CF9" w:rsidRDefault="00CD7CF9" w:rsidP="00237521"/>
    <w:p w14:paraId="3B3FED26" w14:textId="0FF3D796" w:rsidR="00637BDE" w:rsidRDefault="00637BDE" w:rsidP="00095AB1">
      <w:pPr>
        <w:spacing w:after="120"/>
      </w:pPr>
      <w:r w:rsidRPr="00237521">
        <w:lastRenderedPageBreak/>
        <w:t>Table 5.2 shows results by season and climate zone. Because of relativel</w:t>
      </w:r>
      <w:r w:rsidR="00E94101" w:rsidRPr="00237521">
        <w:t>y low enrollment in October 2016</w:t>
      </w:r>
      <w:r w:rsidRPr="00237521">
        <w:t xml:space="preserve"> and the discontinuity between that month and the summer of 201</w:t>
      </w:r>
      <w:r w:rsidR="00E94101" w:rsidRPr="00237521">
        <w:t>7</w:t>
      </w:r>
      <w:r w:rsidRPr="00237521">
        <w:t>, the results for the summer season include on</w:t>
      </w:r>
      <w:r w:rsidR="00E94101" w:rsidRPr="00237521">
        <w:t>ly May through September of 2017</w:t>
      </w:r>
      <w:r w:rsidRPr="00237521">
        <w:t xml:space="preserve">. </w:t>
      </w:r>
      <w:r w:rsidR="003F287A" w:rsidRPr="00237521">
        <w:t>Summer peak load impacts were similar in percentage terms for the two climate zones</w:t>
      </w:r>
      <w:r w:rsidRPr="00237521">
        <w:t>.</w:t>
      </w:r>
      <w:r w:rsidR="003F287A" w:rsidRPr="00237521">
        <w:t xml:space="preserve"> </w:t>
      </w:r>
      <w:r w:rsidR="00D73E36">
        <w:t xml:space="preserve"> </w:t>
      </w:r>
    </w:p>
    <w:p w14:paraId="25CDE14C" w14:textId="265F3997" w:rsidR="00640C9E" w:rsidRDefault="005E0E70" w:rsidP="00CD7CF9">
      <w:pPr>
        <w:pStyle w:val="TableCaption"/>
        <w:keepNext/>
        <w:keepLines/>
        <w:rPr>
          <w:i/>
        </w:rPr>
      </w:pPr>
      <w:bookmarkStart w:id="84" w:name="_Toc509576795"/>
      <w:r>
        <w:t xml:space="preserve">Table 5.2: TOU Peak Load </w:t>
      </w:r>
      <w:r w:rsidR="003F287A">
        <w:t>Impact</w:t>
      </w:r>
      <w:r>
        <w:t xml:space="preserve">s </w:t>
      </w:r>
      <w:r w:rsidR="006D4EEC">
        <w:t xml:space="preserve">for TOU Customers </w:t>
      </w:r>
      <w:r>
        <w:t xml:space="preserve">– </w:t>
      </w:r>
      <w:r w:rsidRPr="00222B7F">
        <w:rPr>
          <w:i/>
        </w:rPr>
        <w:t xml:space="preserve">Average Weekday by </w:t>
      </w:r>
      <w:r w:rsidR="003F287A">
        <w:rPr>
          <w:i/>
        </w:rPr>
        <w:t>Season &amp; Climate Zone</w:t>
      </w:r>
      <w:bookmarkEnd w:id="84"/>
    </w:p>
    <w:tbl>
      <w:tblPr>
        <w:tblW w:w="9070" w:type="dxa"/>
        <w:jc w:val="center"/>
        <w:tblLook w:val="04A0" w:firstRow="1" w:lastRow="0" w:firstColumn="1" w:lastColumn="0" w:noHBand="0" w:noVBand="1"/>
      </w:tblPr>
      <w:tblGrid>
        <w:gridCol w:w="971"/>
        <w:gridCol w:w="955"/>
        <w:gridCol w:w="1133"/>
        <w:gridCol w:w="1076"/>
        <w:gridCol w:w="1076"/>
        <w:gridCol w:w="989"/>
        <w:gridCol w:w="989"/>
        <w:gridCol w:w="955"/>
        <w:gridCol w:w="955"/>
      </w:tblGrid>
      <w:tr w:rsidR="00CD7CF9" w:rsidRPr="00CD7CF9" w14:paraId="0C294407" w14:textId="77777777" w:rsidTr="00E2310D">
        <w:trPr>
          <w:trHeight w:val="301"/>
          <w:jc w:val="center"/>
        </w:trPr>
        <w:tc>
          <w:tcPr>
            <w:tcW w:w="966" w:type="dxa"/>
            <w:tcBorders>
              <w:top w:val="single" w:sz="4" w:space="0" w:color="auto"/>
              <w:left w:val="single" w:sz="4" w:space="0" w:color="auto"/>
              <w:bottom w:val="nil"/>
              <w:right w:val="nil"/>
            </w:tcBorders>
            <w:shd w:val="clear" w:color="000000" w:fill="132577"/>
            <w:noWrap/>
            <w:vAlign w:val="bottom"/>
            <w:hideMark/>
          </w:tcPr>
          <w:p w14:paraId="1F154DE4" w14:textId="77777777" w:rsidR="00CD7CF9" w:rsidRPr="00CD7CF9" w:rsidRDefault="00CD7CF9" w:rsidP="00237521">
            <w:pPr>
              <w:keepNext/>
              <w:rPr>
                <w:rFonts w:cs="Calibri"/>
                <w:color w:val="FFFFFF"/>
                <w:sz w:val="22"/>
                <w:szCs w:val="22"/>
              </w:rPr>
            </w:pPr>
            <w:r w:rsidRPr="00CD7CF9">
              <w:rPr>
                <w:rFonts w:cs="Calibri"/>
                <w:color w:val="FFFFFF"/>
                <w:sz w:val="22"/>
                <w:szCs w:val="22"/>
              </w:rPr>
              <w:t> </w:t>
            </w:r>
          </w:p>
        </w:tc>
        <w:tc>
          <w:tcPr>
            <w:tcW w:w="955" w:type="dxa"/>
            <w:tcBorders>
              <w:top w:val="single" w:sz="4" w:space="0" w:color="auto"/>
              <w:left w:val="single" w:sz="4" w:space="0" w:color="FFFFFF"/>
              <w:bottom w:val="nil"/>
              <w:right w:val="single" w:sz="4" w:space="0" w:color="FFFFFF"/>
            </w:tcBorders>
            <w:shd w:val="clear" w:color="000000" w:fill="132577"/>
            <w:noWrap/>
            <w:vAlign w:val="bottom"/>
            <w:hideMark/>
          </w:tcPr>
          <w:p w14:paraId="0F59E193" w14:textId="77777777" w:rsidR="00CD7CF9" w:rsidRPr="00CD7CF9" w:rsidRDefault="00CD7CF9" w:rsidP="00237521">
            <w:pPr>
              <w:keepNext/>
              <w:rPr>
                <w:rFonts w:cs="Calibri"/>
                <w:color w:val="FFFFFF"/>
                <w:sz w:val="22"/>
                <w:szCs w:val="22"/>
              </w:rPr>
            </w:pPr>
            <w:r w:rsidRPr="00CD7CF9">
              <w:rPr>
                <w:rFonts w:cs="Calibri"/>
                <w:color w:val="FFFFFF"/>
                <w:sz w:val="22"/>
                <w:szCs w:val="22"/>
              </w:rPr>
              <w:t> </w:t>
            </w:r>
          </w:p>
        </w:tc>
        <w:tc>
          <w:tcPr>
            <w:tcW w:w="1133" w:type="dxa"/>
            <w:tcBorders>
              <w:top w:val="single" w:sz="4" w:space="0" w:color="auto"/>
              <w:left w:val="nil"/>
              <w:bottom w:val="nil"/>
              <w:right w:val="single" w:sz="4" w:space="0" w:color="FFFFFF"/>
            </w:tcBorders>
            <w:shd w:val="clear" w:color="000000" w:fill="132577"/>
            <w:noWrap/>
            <w:vAlign w:val="bottom"/>
            <w:hideMark/>
          </w:tcPr>
          <w:p w14:paraId="062F6B4B" w14:textId="77777777" w:rsidR="00CD7CF9" w:rsidRPr="00CD7CF9" w:rsidRDefault="00CD7CF9" w:rsidP="00237521">
            <w:pPr>
              <w:keepNext/>
              <w:rPr>
                <w:rFonts w:cs="Calibri"/>
                <w:color w:val="FFFFFF"/>
                <w:sz w:val="22"/>
                <w:szCs w:val="22"/>
              </w:rPr>
            </w:pPr>
            <w:r w:rsidRPr="00CD7CF9">
              <w:rPr>
                <w:rFonts w:cs="Calibri"/>
                <w:color w:val="FFFFFF"/>
                <w:sz w:val="22"/>
                <w:szCs w:val="22"/>
              </w:rPr>
              <w:t> </w:t>
            </w:r>
          </w:p>
        </w:tc>
        <w:tc>
          <w:tcPr>
            <w:tcW w:w="2139" w:type="dxa"/>
            <w:gridSpan w:val="2"/>
            <w:tcBorders>
              <w:top w:val="single" w:sz="4" w:space="0" w:color="auto"/>
              <w:left w:val="nil"/>
              <w:bottom w:val="single" w:sz="4" w:space="0" w:color="FFFFFF"/>
              <w:right w:val="single" w:sz="4" w:space="0" w:color="FFFFFF"/>
            </w:tcBorders>
            <w:shd w:val="clear" w:color="000000" w:fill="132577"/>
            <w:noWrap/>
            <w:vAlign w:val="bottom"/>
            <w:hideMark/>
          </w:tcPr>
          <w:p w14:paraId="6433DA23" w14:textId="77777777" w:rsidR="00CD7CF9" w:rsidRPr="00CD7CF9" w:rsidRDefault="00CD7CF9" w:rsidP="00237521">
            <w:pPr>
              <w:keepNext/>
              <w:jc w:val="center"/>
              <w:rPr>
                <w:rFonts w:cs="Calibri"/>
                <w:b/>
                <w:bCs/>
                <w:color w:val="FFFFFF"/>
                <w:sz w:val="22"/>
                <w:szCs w:val="22"/>
              </w:rPr>
            </w:pPr>
            <w:r w:rsidRPr="00CD7CF9">
              <w:rPr>
                <w:rFonts w:cs="Calibri"/>
                <w:b/>
                <w:bCs/>
                <w:color w:val="FFFFFF"/>
                <w:sz w:val="22"/>
                <w:szCs w:val="22"/>
              </w:rPr>
              <w:t>Aggregate</w:t>
            </w:r>
          </w:p>
        </w:tc>
        <w:tc>
          <w:tcPr>
            <w:tcW w:w="1967" w:type="dxa"/>
            <w:gridSpan w:val="2"/>
            <w:tcBorders>
              <w:top w:val="single" w:sz="4" w:space="0" w:color="auto"/>
              <w:left w:val="nil"/>
              <w:bottom w:val="single" w:sz="4" w:space="0" w:color="FFFFFF"/>
              <w:right w:val="nil"/>
            </w:tcBorders>
            <w:shd w:val="clear" w:color="000000" w:fill="132577"/>
            <w:noWrap/>
            <w:vAlign w:val="bottom"/>
            <w:hideMark/>
          </w:tcPr>
          <w:p w14:paraId="34444BE7" w14:textId="77777777" w:rsidR="00CD7CF9" w:rsidRPr="00CD7CF9" w:rsidRDefault="00CD7CF9" w:rsidP="00237521">
            <w:pPr>
              <w:keepNext/>
              <w:jc w:val="center"/>
              <w:rPr>
                <w:rFonts w:cs="Calibri"/>
                <w:b/>
                <w:bCs/>
                <w:color w:val="FFFFFF"/>
                <w:sz w:val="22"/>
                <w:szCs w:val="22"/>
              </w:rPr>
            </w:pPr>
            <w:r w:rsidRPr="00CD7CF9">
              <w:rPr>
                <w:rFonts w:cs="Calibri"/>
                <w:b/>
                <w:bCs/>
                <w:color w:val="FFFFFF"/>
                <w:sz w:val="22"/>
                <w:szCs w:val="22"/>
              </w:rPr>
              <w:t>Per-Customer</w:t>
            </w:r>
          </w:p>
        </w:tc>
        <w:tc>
          <w:tcPr>
            <w:tcW w:w="955" w:type="dxa"/>
            <w:tcBorders>
              <w:top w:val="single" w:sz="4" w:space="0" w:color="auto"/>
              <w:left w:val="single" w:sz="4" w:space="0" w:color="FFFFFF"/>
              <w:bottom w:val="nil"/>
              <w:right w:val="single" w:sz="4" w:space="0" w:color="FFFFFF"/>
            </w:tcBorders>
            <w:shd w:val="clear" w:color="000000" w:fill="132577"/>
            <w:noWrap/>
            <w:vAlign w:val="bottom"/>
            <w:hideMark/>
          </w:tcPr>
          <w:p w14:paraId="3B20B8EE" w14:textId="77777777" w:rsidR="00CD7CF9" w:rsidRPr="00CD7CF9" w:rsidRDefault="00CD7CF9" w:rsidP="00237521">
            <w:pPr>
              <w:keepNext/>
              <w:rPr>
                <w:rFonts w:cs="Calibri"/>
                <w:color w:val="FFFFFF"/>
                <w:sz w:val="22"/>
                <w:szCs w:val="22"/>
              </w:rPr>
            </w:pPr>
            <w:r w:rsidRPr="00CD7CF9">
              <w:rPr>
                <w:rFonts w:cs="Calibri"/>
                <w:color w:val="FFFFFF"/>
                <w:sz w:val="22"/>
                <w:szCs w:val="22"/>
              </w:rPr>
              <w:t> </w:t>
            </w:r>
          </w:p>
        </w:tc>
        <w:tc>
          <w:tcPr>
            <w:tcW w:w="955" w:type="dxa"/>
            <w:tcBorders>
              <w:top w:val="single" w:sz="4" w:space="0" w:color="auto"/>
              <w:left w:val="nil"/>
              <w:bottom w:val="nil"/>
              <w:right w:val="single" w:sz="4" w:space="0" w:color="auto"/>
            </w:tcBorders>
            <w:shd w:val="clear" w:color="000000" w:fill="132577"/>
            <w:noWrap/>
            <w:vAlign w:val="bottom"/>
            <w:hideMark/>
          </w:tcPr>
          <w:p w14:paraId="71635E65" w14:textId="77777777" w:rsidR="00CD7CF9" w:rsidRPr="00CD7CF9" w:rsidRDefault="00CD7CF9" w:rsidP="00237521">
            <w:pPr>
              <w:keepNext/>
              <w:rPr>
                <w:rFonts w:cs="Calibri"/>
                <w:color w:val="FFFFFF"/>
                <w:sz w:val="22"/>
                <w:szCs w:val="22"/>
              </w:rPr>
            </w:pPr>
            <w:r w:rsidRPr="00CD7CF9">
              <w:rPr>
                <w:rFonts w:cs="Calibri"/>
                <w:color w:val="FFFFFF"/>
                <w:sz w:val="22"/>
                <w:szCs w:val="22"/>
              </w:rPr>
              <w:t> </w:t>
            </w:r>
          </w:p>
        </w:tc>
      </w:tr>
      <w:tr w:rsidR="00CD7CF9" w:rsidRPr="00CD7CF9" w14:paraId="58698F50" w14:textId="77777777" w:rsidTr="0010027E">
        <w:trPr>
          <w:trHeight w:val="1221"/>
          <w:jc w:val="center"/>
        </w:trPr>
        <w:tc>
          <w:tcPr>
            <w:tcW w:w="966" w:type="dxa"/>
            <w:tcBorders>
              <w:top w:val="nil"/>
              <w:left w:val="single" w:sz="4" w:space="0" w:color="auto"/>
              <w:bottom w:val="nil"/>
              <w:right w:val="nil"/>
            </w:tcBorders>
            <w:shd w:val="clear" w:color="auto" w:fill="0C2577"/>
            <w:noWrap/>
            <w:vAlign w:val="bottom"/>
            <w:hideMark/>
          </w:tcPr>
          <w:p w14:paraId="2623736C" w14:textId="77777777" w:rsidR="00CD7CF9" w:rsidRPr="00CD7CF9" w:rsidRDefault="00CD7CF9" w:rsidP="00237521">
            <w:pPr>
              <w:keepNext/>
              <w:jc w:val="center"/>
              <w:rPr>
                <w:rFonts w:cs="Calibri"/>
                <w:b/>
                <w:bCs/>
                <w:color w:val="FFFFFF"/>
                <w:sz w:val="22"/>
                <w:szCs w:val="22"/>
              </w:rPr>
            </w:pPr>
            <w:r w:rsidRPr="00CD7CF9">
              <w:rPr>
                <w:rFonts w:cs="Calibri"/>
                <w:b/>
                <w:bCs/>
                <w:color w:val="FFFFFF"/>
                <w:sz w:val="22"/>
                <w:szCs w:val="22"/>
              </w:rPr>
              <w:t>Season</w:t>
            </w:r>
          </w:p>
        </w:tc>
        <w:tc>
          <w:tcPr>
            <w:tcW w:w="955" w:type="dxa"/>
            <w:tcBorders>
              <w:top w:val="nil"/>
              <w:left w:val="single" w:sz="4" w:space="0" w:color="FFFFFF"/>
              <w:bottom w:val="single" w:sz="4" w:space="0" w:color="auto"/>
              <w:right w:val="single" w:sz="4" w:space="0" w:color="FFFFFF"/>
            </w:tcBorders>
            <w:shd w:val="clear" w:color="auto" w:fill="0C2577"/>
            <w:vAlign w:val="bottom"/>
            <w:hideMark/>
          </w:tcPr>
          <w:p w14:paraId="390FB686" w14:textId="77777777" w:rsidR="00CD7CF9" w:rsidRPr="00CD7CF9" w:rsidRDefault="00CD7CF9" w:rsidP="00237521">
            <w:pPr>
              <w:keepNext/>
              <w:jc w:val="center"/>
              <w:rPr>
                <w:rFonts w:cs="Calibri"/>
                <w:b/>
                <w:bCs/>
                <w:color w:val="FFFFFF"/>
                <w:sz w:val="22"/>
                <w:szCs w:val="22"/>
              </w:rPr>
            </w:pPr>
            <w:r w:rsidRPr="00CD7CF9">
              <w:rPr>
                <w:rFonts w:cs="Calibri"/>
                <w:b/>
                <w:bCs/>
                <w:color w:val="FFFFFF"/>
                <w:sz w:val="22"/>
                <w:szCs w:val="22"/>
              </w:rPr>
              <w:t>Climate Zone</w:t>
            </w:r>
          </w:p>
        </w:tc>
        <w:tc>
          <w:tcPr>
            <w:tcW w:w="1133" w:type="dxa"/>
            <w:tcBorders>
              <w:top w:val="nil"/>
              <w:left w:val="nil"/>
              <w:bottom w:val="single" w:sz="4" w:space="0" w:color="auto"/>
              <w:right w:val="single" w:sz="4" w:space="0" w:color="FFFFFF"/>
            </w:tcBorders>
            <w:shd w:val="clear" w:color="auto" w:fill="0C2577"/>
            <w:vAlign w:val="bottom"/>
            <w:hideMark/>
          </w:tcPr>
          <w:p w14:paraId="2ADA06AD" w14:textId="77777777" w:rsidR="00CD7CF9" w:rsidRPr="00CD7CF9" w:rsidRDefault="00CD7CF9" w:rsidP="00237521">
            <w:pPr>
              <w:keepNext/>
              <w:jc w:val="center"/>
              <w:rPr>
                <w:rFonts w:cs="Calibri"/>
                <w:b/>
                <w:bCs/>
                <w:color w:val="FFFFFF"/>
                <w:sz w:val="22"/>
                <w:szCs w:val="22"/>
              </w:rPr>
            </w:pPr>
            <w:r w:rsidRPr="00CD7CF9">
              <w:rPr>
                <w:rFonts w:cs="Calibri"/>
                <w:b/>
                <w:bCs/>
                <w:color w:val="FFFFFF"/>
                <w:sz w:val="22"/>
                <w:szCs w:val="22"/>
              </w:rPr>
              <w:t>Enrolled (Average)</w:t>
            </w:r>
          </w:p>
        </w:tc>
        <w:tc>
          <w:tcPr>
            <w:tcW w:w="1069" w:type="dxa"/>
            <w:tcBorders>
              <w:top w:val="nil"/>
              <w:left w:val="nil"/>
              <w:bottom w:val="single" w:sz="4" w:space="0" w:color="auto"/>
              <w:right w:val="nil"/>
            </w:tcBorders>
            <w:shd w:val="clear" w:color="auto" w:fill="0C2577"/>
            <w:vAlign w:val="bottom"/>
            <w:hideMark/>
          </w:tcPr>
          <w:p w14:paraId="093EE614" w14:textId="77777777" w:rsidR="00CD7CF9" w:rsidRPr="00CD7CF9" w:rsidRDefault="00CD7CF9" w:rsidP="00237521">
            <w:pPr>
              <w:keepNext/>
              <w:jc w:val="center"/>
              <w:rPr>
                <w:rFonts w:cs="Calibri"/>
                <w:b/>
                <w:bCs/>
                <w:color w:val="FFFFFF"/>
                <w:sz w:val="22"/>
                <w:szCs w:val="22"/>
              </w:rPr>
            </w:pPr>
            <w:r w:rsidRPr="00CD7CF9">
              <w:rPr>
                <w:rFonts w:cs="Calibri"/>
                <w:b/>
                <w:bCs/>
                <w:color w:val="FFFFFF"/>
                <w:sz w:val="22"/>
                <w:szCs w:val="22"/>
              </w:rPr>
              <w:t>Peak Ref. Load (MWh/h)</w:t>
            </w:r>
          </w:p>
        </w:tc>
        <w:tc>
          <w:tcPr>
            <w:tcW w:w="1069" w:type="dxa"/>
            <w:tcBorders>
              <w:top w:val="nil"/>
              <w:left w:val="nil"/>
              <w:bottom w:val="single" w:sz="4" w:space="0" w:color="auto"/>
              <w:right w:val="single" w:sz="4" w:space="0" w:color="FFFFFF"/>
            </w:tcBorders>
            <w:shd w:val="clear" w:color="auto" w:fill="0C2577"/>
            <w:vAlign w:val="bottom"/>
            <w:hideMark/>
          </w:tcPr>
          <w:p w14:paraId="4D0D4ED4" w14:textId="77777777" w:rsidR="00CD7CF9" w:rsidRPr="00CD7CF9" w:rsidRDefault="00CD7CF9" w:rsidP="00237521">
            <w:pPr>
              <w:keepNext/>
              <w:jc w:val="center"/>
              <w:rPr>
                <w:rFonts w:cs="Calibri"/>
                <w:b/>
                <w:bCs/>
                <w:color w:val="FFFFFF"/>
                <w:sz w:val="22"/>
                <w:szCs w:val="22"/>
              </w:rPr>
            </w:pPr>
            <w:r w:rsidRPr="00CD7CF9">
              <w:rPr>
                <w:rFonts w:cs="Calibri"/>
                <w:b/>
                <w:bCs/>
                <w:color w:val="FFFFFF"/>
                <w:sz w:val="22"/>
                <w:szCs w:val="22"/>
              </w:rPr>
              <w:t>Peak Load Impact (MWh/h)</w:t>
            </w:r>
          </w:p>
        </w:tc>
        <w:tc>
          <w:tcPr>
            <w:tcW w:w="983" w:type="dxa"/>
            <w:tcBorders>
              <w:top w:val="nil"/>
              <w:left w:val="nil"/>
              <w:bottom w:val="single" w:sz="4" w:space="0" w:color="auto"/>
              <w:right w:val="nil"/>
            </w:tcBorders>
            <w:shd w:val="clear" w:color="auto" w:fill="0C2577"/>
            <w:vAlign w:val="bottom"/>
            <w:hideMark/>
          </w:tcPr>
          <w:p w14:paraId="1295F263" w14:textId="77777777" w:rsidR="00CD7CF9" w:rsidRPr="00CD7CF9" w:rsidRDefault="00CD7CF9" w:rsidP="00237521">
            <w:pPr>
              <w:keepNext/>
              <w:jc w:val="center"/>
              <w:rPr>
                <w:rFonts w:cs="Calibri"/>
                <w:b/>
                <w:bCs/>
                <w:color w:val="FFFFFF"/>
                <w:sz w:val="22"/>
                <w:szCs w:val="22"/>
              </w:rPr>
            </w:pPr>
            <w:r w:rsidRPr="00CD7CF9">
              <w:rPr>
                <w:rFonts w:cs="Calibri"/>
                <w:b/>
                <w:bCs/>
                <w:color w:val="FFFFFF"/>
                <w:sz w:val="22"/>
                <w:szCs w:val="22"/>
              </w:rPr>
              <w:t>Peak Ref. Load (kWh/h)</w:t>
            </w:r>
          </w:p>
        </w:tc>
        <w:tc>
          <w:tcPr>
            <w:tcW w:w="983" w:type="dxa"/>
            <w:tcBorders>
              <w:top w:val="nil"/>
              <w:left w:val="nil"/>
              <w:bottom w:val="single" w:sz="4" w:space="0" w:color="auto"/>
              <w:right w:val="single" w:sz="4" w:space="0" w:color="FFFFFF"/>
            </w:tcBorders>
            <w:shd w:val="clear" w:color="auto" w:fill="0C2577"/>
            <w:vAlign w:val="bottom"/>
            <w:hideMark/>
          </w:tcPr>
          <w:p w14:paraId="1D806B80" w14:textId="77777777" w:rsidR="00CD7CF9" w:rsidRPr="00CD7CF9" w:rsidRDefault="00CD7CF9" w:rsidP="00237521">
            <w:pPr>
              <w:keepNext/>
              <w:jc w:val="center"/>
              <w:rPr>
                <w:rFonts w:cs="Calibri"/>
                <w:b/>
                <w:bCs/>
                <w:color w:val="FFFFFF"/>
                <w:sz w:val="22"/>
                <w:szCs w:val="22"/>
              </w:rPr>
            </w:pPr>
            <w:r w:rsidRPr="00CD7CF9">
              <w:rPr>
                <w:rFonts w:cs="Calibri"/>
                <w:b/>
                <w:bCs/>
                <w:color w:val="FFFFFF"/>
                <w:sz w:val="22"/>
                <w:szCs w:val="22"/>
              </w:rPr>
              <w:t>Peak Load Impact (kWh/h)</w:t>
            </w:r>
          </w:p>
        </w:tc>
        <w:tc>
          <w:tcPr>
            <w:tcW w:w="955" w:type="dxa"/>
            <w:tcBorders>
              <w:top w:val="nil"/>
              <w:left w:val="nil"/>
              <w:bottom w:val="single" w:sz="4" w:space="0" w:color="auto"/>
              <w:right w:val="single" w:sz="4" w:space="0" w:color="FFFFFF"/>
            </w:tcBorders>
            <w:shd w:val="clear" w:color="auto" w:fill="0C2577"/>
            <w:vAlign w:val="bottom"/>
            <w:hideMark/>
          </w:tcPr>
          <w:p w14:paraId="62A8D56E" w14:textId="77777777" w:rsidR="00CD7CF9" w:rsidRPr="00CD7CF9" w:rsidRDefault="00CD7CF9" w:rsidP="00237521">
            <w:pPr>
              <w:keepNext/>
              <w:jc w:val="center"/>
              <w:rPr>
                <w:rFonts w:cs="Calibri"/>
                <w:b/>
                <w:bCs/>
                <w:color w:val="FFFFFF"/>
                <w:sz w:val="22"/>
                <w:szCs w:val="22"/>
              </w:rPr>
            </w:pPr>
            <w:r w:rsidRPr="00CD7CF9">
              <w:rPr>
                <w:rFonts w:cs="Calibri"/>
                <w:b/>
                <w:bCs/>
                <w:color w:val="FFFFFF"/>
                <w:sz w:val="22"/>
                <w:szCs w:val="22"/>
              </w:rPr>
              <w:t>% Peak Load Impact</w:t>
            </w:r>
          </w:p>
        </w:tc>
        <w:tc>
          <w:tcPr>
            <w:tcW w:w="955" w:type="dxa"/>
            <w:tcBorders>
              <w:top w:val="nil"/>
              <w:left w:val="nil"/>
              <w:bottom w:val="nil"/>
              <w:right w:val="single" w:sz="4" w:space="0" w:color="auto"/>
            </w:tcBorders>
            <w:shd w:val="clear" w:color="auto" w:fill="0C2577"/>
            <w:vAlign w:val="bottom"/>
            <w:hideMark/>
          </w:tcPr>
          <w:p w14:paraId="0210C531" w14:textId="77777777" w:rsidR="00CD7CF9" w:rsidRPr="00CD7CF9" w:rsidRDefault="00CD7CF9" w:rsidP="00237521">
            <w:pPr>
              <w:keepNext/>
              <w:jc w:val="center"/>
              <w:rPr>
                <w:rFonts w:cs="Calibri"/>
                <w:b/>
                <w:bCs/>
                <w:color w:val="FFFFFF"/>
                <w:sz w:val="22"/>
                <w:szCs w:val="22"/>
              </w:rPr>
            </w:pPr>
            <w:r w:rsidRPr="00CD7CF9">
              <w:rPr>
                <w:rFonts w:cs="Calibri"/>
                <w:b/>
                <w:bCs/>
                <w:color w:val="FFFFFF"/>
                <w:sz w:val="22"/>
                <w:szCs w:val="22"/>
              </w:rPr>
              <w:t>Ave. Peak Temp.</w:t>
            </w:r>
          </w:p>
        </w:tc>
      </w:tr>
      <w:tr w:rsidR="00CD7CF9" w:rsidRPr="00CD7CF9" w14:paraId="6C8E79BC" w14:textId="77777777" w:rsidTr="00E2310D">
        <w:trPr>
          <w:trHeight w:val="20"/>
          <w:jc w:val="center"/>
        </w:trPr>
        <w:tc>
          <w:tcPr>
            <w:tcW w:w="966" w:type="dxa"/>
            <w:vMerge w:val="restart"/>
            <w:tcBorders>
              <w:top w:val="single" w:sz="4" w:space="0" w:color="auto"/>
              <w:left w:val="single" w:sz="4" w:space="0" w:color="auto"/>
              <w:bottom w:val="double" w:sz="6" w:space="0" w:color="000000"/>
              <w:right w:val="nil"/>
            </w:tcBorders>
            <w:shd w:val="clear" w:color="auto" w:fill="auto"/>
            <w:vAlign w:val="center"/>
            <w:hideMark/>
          </w:tcPr>
          <w:p w14:paraId="64ABD7D7" w14:textId="77777777" w:rsidR="00CD7CF9" w:rsidRPr="00CD7CF9" w:rsidRDefault="00CD7CF9" w:rsidP="00237521">
            <w:pPr>
              <w:keepNext/>
              <w:jc w:val="center"/>
              <w:rPr>
                <w:rFonts w:cs="Calibri"/>
                <w:sz w:val="22"/>
                <w:szCs w:val="22"/>
              </w:rPr>
            </w:pPr>
            <w:r w:rsidRPr="00CD7CF9">
              <w:rPr>
                <w:rFonts w:cs="Calibri"/>
                <w:sz w:val="22"/>
                <w:szCs w:val="22"/>
              </w:rPr>
              <w:t>Summer</w:t>
            </w:r>
          </w:p>
        </w:tc>
        <w:tc>
          <w:tcPr>
            <w:tcW w:w="955" w:type="dxa"/>
            <w:tcBorders>
              <w:top w:val="nil"/>
              <w:left w:val="single" w:sz="4" w:space="0" w:color="auto"/>
              <w:bottom w:val="nil"/>
              <w:right w:val="single" w:sz="4" w:space="0" w:color="auto"/>
            </w:tcBorders>
            <w:shd w:val="clear" w:color="000000" w:fill="FFFFFF"/>
            <w:noWrap/>
            <w:vAlign w:val="bottom"/>
            <w:hideMark/>
          </w:tcPr>
          <w:p w14:paraId="2F84338A" w14:textId="77777777" w:rsidR="00CD7CF9" w:rsidRPr="00CD7CF9" w:rsidRDefault="00CD7CF9" w:rsidP="00237521">
            <w:pPr>
              <w:keepNext/>
              <w:jc w:val="center"/>
              <w:rPr>
                <w:rFonts w:cs="Calibri"/>
                <w:sz w:val="22"/>
                <w:szCs w:val="22"/>
              </w:rPr>
            </w:pPr>
            <w:r w:rsidRPr="00CD7CF9">
              <w:rPr>
                <w:rFonts w:cs="Calibri"/>
                <w:sz w:val="22"/>
                <w:szCs w:val="22"/>
              </w:rPr>
              <w:t>Coastal</w:t>
            </w:r>
          </w:p>
        </w:tc>
        <w:tc>
          <w:tcPr>
            <w:tcW w:w="1133" w:type="dxa"/>
            <w:tcBorders>
              <w:top w:val="nil"/>
              <w:left w:val="nil"/>
              <w:bottom w:val="nil"/>
              <w:right w:val="single" w:sz="4" w:space="0" w:color="auto"/>
            </w:tcBorders>
            <w:shd w:val="clear" w:color="000000" w:fill="FFFFFF"/>
            <w:noWrap/>
            <w:vAlign w:val="bottom"/>
            <w:hideMark/>
          </w:tcPr>
          <w:p w14:paraId="7DBA0634" w14:textId="77777777" w:rsidR="00CD7CF9" w:rsidRPr="00CD7CF9" w:rsidRDefault="00CD7CF9" w:rsidP="00237521">
            <w:pPr>
              <w:keepNext/>
              <w:jc w:val="center"/>
              <w:rPr>
                <w:rFonts w:cs="Calibri"/>
                <w:sz w:val="22"/>
                <w:szCs w:val="22"/>
              </w:rPr>
            </w:pPr>
            <w:r w:rsidRPr="00CD7CF9">
              <w:rPr>
                <w:rFonts w:cs="Calibri"/>
                <w:sz w:val="22"/>
                <w:szCs w:val="22"/>
              </w:rPr>
              <w:t>692</w:t>
            </w:r>
          </w:p>
        </w:tc>
        <w:tc>
          <w:tcPr>
            <w:tcW w:w="1069" w:type="dxa"/>
            <w:tcBorders>
              <w:top w:val="nil"/>
              <w:left w:val="nil"/>
              <w:bottom w:val="nil"/>
              <w:right w:val="nil"/>
            </w:tcBorders>
            <w:shd w:val="clear" w:color="000000" w:fill="FFFFFF"/>
            <w:noWrap/>
            <w:vAlign w:val="bottom"/>
            <w:hideMark/>
          </w:tcPr>
          <w:p w14:paraId="648CE742" w14:textId="77777777" w:rsidR="00CD7CF9" w:rsidRPr="00CD7CF9" w:rsidRDefault="00CD7CF9" w:rsidP="00237521">
            <w:pPr>
              <w:keepNext/>
              <w:jc w:val="center"/>
              <w:rPr>
                <w:rFonts w:cs="Calibri"/>
                <w:sz w:val="22"/>
                <w:szCs w:val="22"/>
              </w:rPr>
            </w:pPr>
            <w:r w:rsidRPr="00CD7CF9">
              <w:rPr>
                <w:rFonts w:cs="Calibri"/>
                <w:sz w:val="22"/>
                <w:szCs w:val="22"/>
              </w:rPr>
              <w:t>0.60</w:t>
            </w:r>
          </w:p>
        </w:tc>
        <w:tc>
          <w:tcPr>
            <w:tcW w:w="1069" w:type="dxa"/>
            <w:tcBorders>
              <w:top w:val="nil"/>
              <w:left w:val="nil"/>
              <w:bottom w:val="nil"/>
              <w:right w:val="single" w:sz="4" w:space="0" w:color="auto"/>
            </w:tcBorders>
            <w:shd w:val="clear" w:color="000000" w:fill="FFFFFF"/>
            <w:noWrap/>
            <w:vAlign w:val="bottom"/>
            <w:hideMark/>
          </w:tcPr>
          <w:p w14:paraId="0C90BE40" w14:textId="77777777" w:rsidR="00CD7CF9" w:rsidRPr="00CD7CF9" w:rsidRDefault="00CD7CF9" w:rsidP="00237521">
            <w:pPr>
              <w:keepNext/>
              <w:jc w:val="center"/>
              <w:rPr>
                <w:rFonts w:cs="Calibri"/>
                <w:sz w:val="22"/>
                <w:szCs w:val="22"/>
              </w:rPr>
            </w:pPr>
            <w:r w:rsidRPr="00CD7CF9">
              <w:rPr>
                <w:rFonts w:cs="Calibri"/>
                <w:sz w:val="22"/>
                <w:szCs w:val="22"/>
              </w:rPr>
              <w:t>0.03</w:t>
            </w:r>
          </w:p>
        </w:tc>
        <w:tc>
          <w:tcPr>
            <w:tcW w:w="983" w:type="dxa"/>
            <w:tcBorders>
              <w:top w:val="nil"/>
              <w:left w:val="nil"/>
              <w:bottom w:val="nil"/>
              <w:right w:val="nil"/>
            </w:tcBorders>
            <w:shd w:val="clear" w:color="000000" w:fill="FFFFFF"/>
            <w:noWrap/>
            <w:vAlign w:val="bottom"/>
            <w:hideMark/>
          </w:tcPr>
          <w:p w14:paraId="27DF469D" w14:textId="3AB19AE5" w:rsidR="00CD7CF9" w:rsidRPr="00CD7CF9" w:rsidRDefault="00CD7CF9" w:rsidP="00237521">
            <w:pPr>
              <w:keepNext/>
              <w:jc w:val="center"/>
              <w:rPr>
                <w:rFonts w:cs="Calibri"/>
                <w:sz w:val="22"/>
                <w:szCs w:val="22"/>
              </w:rPr>
            </w:pPr>
            <w:r w:rsidRPr="00CD7CF9">
              <w:rPr>
                <w:rFonts w:cs="Calibri"/>
                <w:sz w:val="22"/>
                <w:szCs w:val="22"/>
              </w:rPr>
              <w:t>0.81</w:t>
            </w:r>
          </w:p>
        </w:tc>
        <w:tc>
          <w:tcPr>
            <w:tcW w:w="983" w:type="dxa"/>
            <w:tcBorders>
              <w:top w:val="nil"/>
              <w:left w:val="nil"/>
              <w:bottom w:val="nil"/>
              <w:right w:val="single" w:sz="4" w:space="0" w:color="auto"/>
            </w:tcBorders>
            <w:shd w:val="clear" w:color="000000" w:fill="FFFFFF"/>
            <w:noWrap/>
            <w:vAlign w:val="bottom"/>
            <w:hideMark/>
          </w:tcPr>
          <w:p w14:paraId="3BA4B2B4" w14:textId="77777777" w:rsidR="00CD7CF9" w:rsidRPr="00CD7CF9" w:rsidRDefault="00CD7CF9" w:rsidP="00237521">
            <w:pPr>
              <w:keepNext/>
              <w:jc w:val="center"/>
              <w:rPr>
                <w:rFonts w:cs="Calibri"/>
                <w:sz w:val="22"/>
                <w:szCs w:val="22"/>
              </w:rPr>
            </w:pPr>
            <w:r w:rsidRPr="00CD7CF9">
              <w:rPr>
                <w:rFonts w:cs="Calibri"/>
                <w:sz w:val="22"/>
                <w:szCs w:val="22"/>
              </w:rPr>
              <w:t>0.038</w:t>
            </w:r>
          </w:p>
        </w:tc>
        <w:tc>
          <w:tcPr>
            <w:tcW w:w="955" w:type="dxa"/>
            <w:tcBorders>
              <w:top w:val="nil"/>
              <w:left w:val="nil"/>
              <w:bottom w:val="nil"/>
              <w:right w:val="single" w:sz="4" w:space="0" w:color="auto"/>
            </w:tcBorders>
            <w:shd w:val="clear" w:color="000000" w:fill="FFFFFF"/>
            <w:noWrap/>
            <w:vAlign w:val="bottom"/>
            <w:hideMark/>
          </w:tcPr>
          <w:p w14:paraId="386869AD" w14:textId="77777777" w:rsidR="00CD7CF9" w:rsidRPr="00CD7CF9" w:rsidRDefault="00CD7CF9" w:rsidP="00237521">
            <w:pPr>
              <w:keepNext/>
              <w:jc w:val="center"/>
              <w:rPr>
                <w:rFonts w:cs="Calibri"/>
                <w:sz w:val="22"/>
                <w:szCs w:val="22"/>
              </w:rPr>
            </w:pPr>
            <w:r w:rsidRPr="00CD7CF9">
              <w:rPr>
                <w:rFonts w:cs="Calibri"/>
                <w:sz w:val="22"/>
                <w:szCs w:val="22"/>
              </w:rPr>
              <w:t>4.6%</w:t>
            </w:r>
          </w:p>
        </w:tc>
        <w:tc>
          <w:tcPr>
            <w:tcW w:w="955" w:type="dxa"/>
            <w:tcBorders>
              <w:top w:val="single" w:sz="4" w:space="0" w:color="auto"/>
              <w:left w:val="nil"/>
              <w:bottom w:val="nil"/>
              <w:right w:val="single" w:sz="4" w:space="0" w:color="auto"/>
            </w:tcBorders>
            <w:shd w:val="clear" w:color="000000" w:fill="FFFFFF"/>
            <w:noWrap/>
            <w:vAlign w:val="bottom"/>
            <w:hideMark/>
          </w:tcPr>
          <w:p w14:paraId="18AAD3DD" w14:textId="77777777" w:rsidR="00CD7CF9" w:rsidRPr="00CD7CF9" w:rsidRDefault="00CD7CF9" w:rsidP="00237521">
            <w:pPr>
              <w:keepNext/>
              <w:jc w:val="center"/>
              <w:rPr>
                <w:rFonts w:cs="Calibri"/>
                <w:sz w:val="22"/>
                <w:szCs w:val="22"/>
              </w:rPr>
            </w:pPr>
            <w:r w:rsidRPr="00CD7CF9">
              <w:rPr>
                <w:rFonts w:cs="Calibri"/>
                <w:sz w:val="22"/>
                <w:szCs w:val="22"/>
              </w:rPr>
              <w:t>76</w:t>
            </w:r>
          </w:p>
        </w:tc>
      </w:tr>
      <w:tr w:rsidR="00CD7CF9" w:rsidRPr="00CD7CF9" w14:paraId="2B040A59" w14:textId="77777777" w:rsidTr="00E2310D">
        <w:trPr>
          <w:trHeight w:val="20"/>
          <w:jc w:val="center"/>
        </w:trPr>
        <w:tc>
          <w:tcPr>
            <w:tcW w:w="966" w:type="dxa"/>
            <w:vMerge/>
            <w:tcBorders>
              <w:top w:val="single" w:sz="4" w:space="0" w:color="auto"/>
              <w:left w:val="single" w:sz="4" w:space="0" w:color="auto"/>
              <w:bottom w:val="double" w:sz="6" w:space="0" w:color="000000"/>
              <w:right w:val="nil"/>
            </w:tcBorders>
            <w:vAlign w:val="center"/>
            <w:hideMark/>
          </w:tcPr>
          <w:p w14:paraId="30E100D5" w14:textId="77777777" w:rsidR="00CD7CF9" w:rsidRPr="00CD7CF9" w:rsidRDefault="00CD7CF9" w:rsidP="00237521">
            <w:pPr>
              <w:keepNext/>
              <w:rPr>
                <w:rFonts w:cs="Calibri"/>
                <w:sz w:val="22"/>
                <w:szCs w:val="22"/>
              </w:rPr>
            </w:pPr>
          </w:p>
        </w:tc>
        <w:tc>
          <w:tcPr>
            <w:tcW w:w="955" w:type="dxa"/>
            <w:tcBorders>
              <w:top w:val="nil"/>
              <w:left w:val="single" w:sz="4" w:space="0" w:color="auto"/>
              <w:bottom w:val="nil"/>
              <w:right w:val="single" w:sz="4" w:space="0" w:color="auto"/>
            </w:tcBorders>
            <w:shd w:val="clear" w:color="000000" w:fill="FFFFFF"/>
            <w:noWrap/>
            <w:vAlign w:val="bottom"/>
            <w:hideMark/>
          </w:tcPr>
          <w:p w14:paraId="42E9B5A2" w14:textId="77777777" w:rsidR="00CD7CF9" w:rsidRPr="00CD7CF9" w:rsidRDefault="00CD7CF9" w:rsidP="00237521">
            <w:pPr>
              <w:keepNext/>
              <w:jc w:val="center"/>
              <w:rPr>
                <w:rFonts w:cs="Calibri"/>
                <w:sz w:val="22"/>
                <w:szCs w:val="22"/>
              </w:rPr>
            </w:pPr>
            <w:r w:rsidRPr="00CD7CF9">
              <w:rPr>
                <w:rFonts w:cs="Calibri"/>
                <w:sz w:val="22"/>
                <w:szCs w:val="22"/>
              </w:rPr>
              <w:t>Inland</w:t>
            </w:r>
          </w:p>
        </w:tc>
        <w:tc>
          <w:tcPr>
            <w:tcW w:w="1133" w:type="dxa"/>
            <w:tcBorders>
              <w:top w:val="nil"/>
              <w:left w:val="nil"/>
              <w:bottom w:val="nil"/>
              <w:right w:val="single" w:sz="4" w:space="0" w:color="auto"/>
            </w:tcBorders>
            <w:shd w:val="clear" w:color="000000" w:fill="FFFFFF"/>
            <w:noWrap/>
            <w:vAlign w:val="bottom"/>
            <w:hideMark/>
          </w:tcPr>
          <w:p w14:paraId="1AE9E1EB" w14:textId="77777777" w:rsidR="00CD7CF9" w:rsidRPr="00CD7CF9" w:rsidRDefault="00CD7CF9" w:rsidP="00237521">
            <w:pPr>
              <w:keepNext/>
              <w:jc w:val="center"/>
              <w:rPr>
                <w:rFonts w:cs="Calibri"/>
                <w:sz w:val="22"/>
                <w:szCs w:val="22"/>
              </w:rPr>
            </w:pPr>
            <w:r w:rsidRPr="00CD7CF9">
              <w:rPr>
                <w:rFonts w:cs="Calibri"/>
                <w:sz w:val="22"/>
                <w:szCs w:val="22"/>
              </w:rPr>
              <w:t>515</w:t>
            </w:r>
          </w:p>
        </w:tc>
        <w:tc>
          <w:tcPr>
            <w:tcW w:w="1069" w:type="dxa"/>
            <w:tcBorders>
              <w:top w:val="nil"/>
              <w:left w:val="nil"/>
              <w:bottom w:val="nil"/>
              <w:right w:val="nil"/>
            </w:tcBorders>
            <w:shd w:val="clear" w:color="000000" w:fill="FFFFFF"/>
            <w:noWrap/>
            <w:vAlign w:val="bottom"/>
            <w:hideMark/>
          </w:tcPr>
          <w:p w14:paraId="198CB496" w14:textId="77777777" w:rsidR="00CD7CF9" w:rsidRPr="00CD7CF9" w:rsidRDefault="00CD7CF9" w:rsidP="00237521">
            <w:pPr>
              <w:keepNext/>
              <w:jc w:val="center"/>
              <w:rPr>
                <w:rFonts w:cs="Calibri"/>
                <w:sz w:val="22"/>
                <w:szCs w:val="22"/>
              </w:rPr>
            </w:pPr>
            <w:r w:rsidRPr="00CD7CF9">
              <w:rPr>
                <w:rFonts w:cs="Calibri"/>
                <w:sz w:val="22"/>
                <w:szCs w:val="22"/>
              </w:rPr>
              <w:t>0.52</w:t>
            </w:r>
          </w:p>
        </w:tc>
        <w:tc>
          <w:tcPr>
            <w:tcW w:w="1069" w:type="dxa"/>
            <w:tcBorders>
              <w:top w:val="nil"/>
              <w:left w:val="nil"/>
              <w:bottom w:val="nil"/>
              <w:right w:val="single" w:sz="4" w:space="0" w:color="auto"/>
            </w:tcBorders>
            <w:shd w:val="clear" w:color="000000" w:fill="FFFFFF"/>
            <w:noWrap/>
            <w:vAlign w:val="bottom"/>
            <w:hideMark/>
          </w:tcPr>
          <w:p w14:paraId="45F8AB85" w14:textId="77777777" w:rsidR="00CD7CF9" w:rsidRPr="00CD7CF9" w:rsidRDefault="00CD7CF9" w:rsidP="00237521">
            <w:pPr>
              <w:keepNext/>
              <w:jc w:val="center"/>
              <w:rPr>
                <w:rFonts w:cs="Calibri"/>
                <w:sz w:val="22"/>
                <w:szCs w:val="22"/>
              </w:rPr>
            </w:pPr>
            <w:r w:rsidRPr="00CD7CF9">
              <w:rPr>
                <w:rFonts w:cs="Calibri"/>
                <w:sz w:val="22"/>
                <w:szCs w:val="22"/>
              </w:rPr>
              <w:t>0.03</w:t>
            </w:r>
          </w:p>
        </w:tc>
        <w:tc>
          <w:tcPr>
            <w:tcW w:w="983" w:type="dxa"/>
            <w:tcBorders>
              <w:top w:val="nil"/>
              <w:left w:val="nil"/>
              <w:bottom w:val="nil"/>
              <w:right w:val="nil"/>
            </w:tcBorders>
            <w:shd w:val="clear" w:color="000000" w:fill="FFFFFF"/>
            <w:noWrap/>
            <w:vAlign w:val="bottom"/>
            <w:hideMark/>
          </w:tcPr>
          <w:p w14:paraId="6FD8DCAA" w14:textId="708AD0CB" w:rsidR="00CD7CF9" w:rsidRPr="00CD7CF9" w:rsidRDefault="00CD7CF9" w:rsidP="00237521">
            <w:pPr>
              <w:keepNext/>
              <w:jc w:val="center"/>
              <w:rPr>
                <w:rFonts w:cs="Calibri"/>
                <w:sz w:val="22"/>
                <w:szCs w:val="22"/>
              </w:rPr>
            </w:pPr>
            <w:r w:rsidRPr="00CD7CF9">
              <w:rPr>
                <w:rFonts w:cs="Calibri"/>
                <w:sz w:val="22"/>
                <w:szCs w:val="22"/>
              </w:rPr>
              <w:t>0.97</w:t>
            </w:r>
          </w:p>
        </w:tc>
        <w:tc>
          <w:tcPr>
            <w:tcW w:w="983" w:type="dxa"/>
            <w:tcBorders>
              <w:top w:val="nil"/>
              <w:left w:val="nil"/>
              <w:bottom w:val="nil"/>
              <w:right w:val="single" w:sz="4" w:space="0" w:color="auto"/>
            </w:tcBorders>
            <w:shd w:val="clear" w:color="000000" w:fill="FFFFFF"/>
            <w:noWrap/>
            <w:vAlign w:val="bottom"/>
            <w:hideMark/>
          </w:tcPr>
          <w:p w14:paraId="6D964D4E" w14:textId="77777777" w:rsidR="00CD7CF9" w:rsidRPr="00CD7CF9" w:rsidRDefault="00CD7CF9" w:rsidP="00237521">
            <w:pPr>
              <w:keepNext/>
              <w:jc w:val="center"/>
              <w:rPr>
                <w:rFonts w:cs="Calibri"/>
                <w:sz w:val="22"/>
                <w:szCs w:val="22"/>
              </w:rPr>
            </w:pPr>
            <w:r w:rsidRPr="00CD7CF9">
              <w:rPr>
                <w:rFonts w:cs="Calibri"/>
                <w:sz w:val="22"/>
                <w:szCs w:val="22"/>
              </w:rPr>
              <w:t>0.061</w:t>
            </w:r>
          </w:p>
        </w:tc>
        <w:tc>
          <w:tcPr>
            <w:tcW w:w="955" w:type="dxa"/>
            <w:tcBorders>
              <w:top w:val="nil"/>
              <w:left w:val="nil"/>
              <w:bottom w:val="nil"/>
              <w:right w:val="single" w:sz="4" w:space="0" w:color="auto"/>
            </w:tcBorders>
            <w:shd w:val="clear" w:color="000000" w:fill="FFFFFF"/>
            <w:noWrap/>
            <w:vAlign w:val="bottom"/>
            <w:hideMark/>
          </w:tcPr>
          <w:p w14:paraId="3A20AABD" w14:textId="77777777" w:rsidR="00CD7CF9" w:rsidRPr="00CD7CF9" w:rsidRDefault="00CD7CF9" w:rsidP="00237521">
            <w:pPr>
              <w:keepNext/>
              <w:jc w:val="center"/>
              <w:rPr>
                <w:rFonts w:cs="Calibri"/>
                <w:sz w:val="22"/>
                <w:szCs w:val="22"/>
              </w:rPr>
            </w:pPr>
            <w:r w:rsidRPr="00CD7CF9">
              <w:rPr>
                <w:rFonts w:cs="Calibri"/>
                <w:sz w:val="22"/>
                <w:szCs w:val="22"/>
              </w:rPr>
              <w:t>6.3%</w:t>
            </w:r>
          </w:p>
        </w:tc>
        <w:tc>
          <w:tcPr>
            <w:tcW w:w="955" w:type="dxa"/>
            <w:tcBorders>
              <w:top w:val="nil"/>
              <w:left w:val="nil"/>
              <w:bottom w:val="nil"/>
              <w:right w:val="single" w:sz="4" w:space="0" w:color="auto"/>
            </w:tcBorders>
            <w:shd w:val="clear" w:color="000000" w:fill="FFFFFF"/>
            <w:noWrap/>
            <w:vAlign w:val="bottom"/>
            <w:hideMark/>
          </w:tcPr>
          <w:p w14:paraId="1242E2D0" w14:textId="77777777" w:rsidR="00CD7CF9" w:rsidRPr="00CD7CF9" w:rsidRDefault="00CD7CF9" w:rsidP="00237521">
            <w:pPr>
              <w:keepNext/>
              <w:jc w:val="center"/>
              <w:rPr>
                <w:rFonts w:cs="Calibri"/>
                <w:sz w:val="22"/>
                <w:szCs w:val="22"/>
              </w:rPr>
            </w:pPr>
            <w:r w:rsidRPr="00CD7CF9">
              <w:rPr>
                <w:rFonts w:cs="Calibri"/>
                <w:sz w:val="22"/>
                <w:szCs w:val="22"/>
              </w:rPr>
              <w:t>78</w:t>
            </w:r>
          </w:p>
        </w:tc>
      </w:tr>
      <w:tr w:rsidR="00CD7CF9" w:rsidRPr="00CD7CF9" w14:paraId="3ABAC42C" w14:textId="77777777" w:rsidTr="00E2310D">
        <w:trPr>
          <w:trHeight w:val="20"/>
          <w:jc w:val="center"/>
        </w:trPr>
        <w:tc>
          <w:tcPr>
            <w:tcW w:w="966" w:type="dxa"/>
            <w:vMerge/>
            <w:tcBorders>
              <w:top w:val="single" w:sz="4" w:space="0" w:color="auto"/>
              <w:left w:val="single" w:sz="4" w:space="0" w:color="auto"/>
              <w:bottom w:val="double" w:sz="6" w:space="0" w:color="000000"/>
              <w:right w:val="nil"/>
            </w:tcBorders>
            <w:vAlign w:val="center"/>
            <w:hideMark/>
          </w:tcPr>
          <w:p w14:paraId="550DC86E" w14:textId="77777777" w:rsidR="00CD7CF9" w:rsidRPr="00CD7CF9" w:rsidRDefault="00CD7CF9" w:rsidP="00237521">
            <w:pPr>
              <w:keepNext/>
              <w:rPr>
                <w:rFonts w:cs="Calibri"/>
                <w:sz w:val="22"/>
                <w:szCs w:val="22"/>
              </w:rPr>
            </w:pPr>
          </w:p>
        </w:tc>
        <w:tc>
          <w:tcPr>
            <w:tcW w:w="955" w:type="dxa"/>
            <w:tcBorders>
              <w:top w:val="nil"/>
              <w:left w:val="single" w:sz="4" w:space="0" w:color="auto"/>
              <w:bottom w:val="double" w:sz="6" w:space="0" w:color="auto"/>
              <w:right w:val="single" w:sz="4" w:space="0" w:color="auto"/>
            </w:tcBorders>
            <w:shd w:val="clear" w:color="000000" w:fill="FFFFFF"/>
            <w:noWrap/>
            <w:vAlign w:val="bottom"/>
            <w:hideMark/>
          </w:tcPr>
          <w:p w14:paraId="0CCF0479" w14:textId="77777777" w:rsidR="00CD7CF9" w:rsidRPr="00237521" w:rsidRDefault="00CD7CF9" w:rsidP="00237521">
            <w:pPr>
              <w:keepNext/>
              <w:jc w:val="center"/>
              <w:rPr>
                <w:rFonts w:cs="Calibri"/>
                <w:b/>
                <w:sz w:val="22"/>
                <w:szCs w:val="22"/>
              </w:rPr>
            </w:pPr>
            <w:r w:rsidRPr="00237521">
              <w:rPr>
                <w:rFonts w:cs="Calibri"/>
                <w:b/>
                <w:sz w:val="22"/>
                <w:szCs w:val="22"/>
              </w:rPr>
              <w:t>All</w:t>
            </w:r>
          </w:p>
        </w:tc>
        <w:tc>
          <w:tcPr>
            <w:tcW w:w="1133" w:type="dxa"/>
            <w:tcBorders>
              <w:top w:val="nil"/>
              <w:left w:val="nil"/>
              <w:bottom w:val="double" w:sz="6" w:space="0" w:color="auto"/>
              <w:right w:val="single" w:sz="4" w:space="0" w:color="auto"/>
            </w:tcBorders>
            <w:shd w:val="clear" w:color="000000" w:fill="FFFFFF"/>
            <w:noWrap/>
            <w:vAlign w:val="bottom"/>
            <w:hideMark/>
          </w:tcPr>
          <w:p w14:paraId="7CEB47A2" w14:textId="77777777" w:rsidR="00CD7CF9" w:rsidRPr="00237521" w:rsidRDefault="00CD7CF9" w:rsidP="00237521">
            <w:pPr>
              <w:keepNext/>
              <w:jc w:val="center"/>
              <w:rPr>
                <w:rFonts w:cs="Calibri"/>
                <w:b/>
                <w:sz w:val="22"/>
                <w:szCs w:val="22"/>
              </w:rPr>
            </w:pPr>
            <w:r w:rsidRPr="00237521">
              <w:rPr>
                <w:rFonts w:cs="Calibri"/>
                <w:b/>
                <w:sz w:val="22"/>
                <w:szCs w:val="22"/>
              </w:rPr>
              <w:t>1,207</w:t>
            </w:r>
          </w:p>
        </w:tc>
        <w:tc>
          <w:tcPr>
            <w:tcW w:w="1069" w:type="dxa"/>
            <w:tcBorders>
              <w:top w:val="nil"/>
              <w:left w:val="nil"/>
              <w:bottom w:val="double" w:sz="6" w:space="0" w:color="auto"/>
              <w:right w:val="nil"/>
            </w:tcBorders>
            <w:shd w:val="clear" w:color="000000" w:fill="FFFFFF"/>
            <w:noWrap/>
            <w:vAlign w:val="bottom"/>
            <w:hideMark/>
          </w:tcPr>
          <w:p w14:paraId="6927FC19" w14:textId="77777777" w:rsidR="00CD7CF9" w:rsidRPr="00237521" w:rsidRDefault="00CD7CF9" w:rsidP="00237521">
            <w:pPr>
              <w:keepNext/>
              <w:jc w:val="center"/>
              <w:rPr>
                <w:rFonts w:cs="Calibri"/>
                <w:b/>
                <w:sz w:val="22"/>
                <w:szCs w:val="22"/>
              </w:rPr>
            </w:pPr>
            <w:r w:rsidRPr="00237521">
              <w:rPr>
                <w:rFonts w:cs="Calibri"/>
                <w:b/>
                <w:sz w:val="22"/>
                <w:szCs w:val="22"/>
              </w:rPr>
              <w:t>1.12</w:t>
            </w:r>
          </w:p>
        </w:tc>
        <w:tc>
          <w:tcPr>
            <w:tcW w:w="1069" w:type="dxa"/>
            <w:tcBorders>
              <w:top w:val="nil"/>
              <w:left w:val="nil"/>
              <w:bottom w:val="double" w:sz="6" w:space="0" w:color="auto"/>
              <w:right w:val="single" w:sz="4" w:space="0" w:color="auto"/>
            </w:tcBorders>
            <w:shd w:val="clear" w:color="000000" w:fill="FFFFFF"/>
            <w:noWrap/>
            <w:vAlign w:val="bottom"/>
            <w:hideMark/>
          </w:tcPr>
          <w:p w14:paraId="3DFF3ACD" w14:textId="77777777" w:rsidR="00CD7CF9" w:rsidRPr="00237521" w:rsidRDefault="00CD7CF9" w:rsidP="00237521">
            <w:pPr>
              <w:keepNext/>
              <w:jc w:val="center"/>
              <w:rPr>
                <w:rFonts w:cs="Calibri"/>
                <w:b/>
                <w:sz w:val="22"/>
                <w:szCs w:val="22"/>
              </w:rPr>
            </w:pPr>
            <w:r w:rsidRPr="00237521">
              <w:rPr>
                <w:rFonts w:cs="Calibri"/>
                <w:b/>
                <w:sz w:val="22"/>
                <w:szCs w:val="22"/>
              </w:rPr>
              <w:t>0.06</w:t>
            </w:r>
          </w:p>
        </w:tc>
        <w:tc>
          <w:tcPr>
            <w:tcW w:w="983" w:type="dxa"/>
            <w:tcBorders>
              <w:top w:val="nil"/>
              <w:left w:val="nil"/>
              <w:bottom w:val="double" w:sz="6" w:space="0" w:color="auto"/>
              <w:right w:val="nil"/>
            </w:tcBorders>
            <w:shd w:val="clear" w:color="000000" w:fill="FFFFFF"/>
            <w:noWrap/>
            <w:vAlign w:val="bottom"/>
            <w:hideMark/>
          </w:tcPr>
          <w:p w14:paraId="037F9DA6" w14:textId="2A4350DD" w:rsidR="00CD7CF9" w:rsidRPr="00237521" w:rsidRDefault="00CD7CF9" w:rsidP="00237521">
            <w:pPr>
              <w:keepNext/>
              <w:jc w:val="center"/>
              <w:rPr>
                <w:rFonts w:cs="Calibri"/>
                <w:b/>
                <w:sz w:val="22"/>
                <w:szCs w:val="22"/>
              </w:rPr>
            </w:pPr>
            <w:r w:rsidRPr="00237521">
              <w:rPr>
                <w:rFonts w:cs="Calibri"/>
                <w:b/>
                <w:sz w:val="22"/>
                <w:szCs w:val="22"/>
              </w:rPr>
              <w:t>0.88</w:t>
            </w:r>
          </w:p>
        </w:tc>
        <w:tc>
          <w:tcPr>
            <w:tcW w:w="983" w:type="dxa"/>
            <w:tcBorders>
              <w:top w:val="nil"/>
              <w:left w:val="nil"/>
              <w:bottom w:val="double" w:sz="6" w:space="0" w:color="auto"/>
              <w:right w:val="single" w:sz="4" w:space="0" w:color="auto"/>
            </w:tcBorders>
            <w:shd w:val="clear" w:color="000000" w:fill="FFFFFF"/>
            <w:noWrap/>
            <w:vAlign w:val="bottom"/>
            <w:hideMark/>
          </w:tcPr>
          <w:p w14:paraId="51CF8E3E" w14:textId="77777777" w:rsidR="00CD7CF9" w:rsidRPr="00237521" w:rsidRDefault="00CD7CF9" w:rsidP="00237521">
            <w:pPr>
              <w:keepNext/>
              <w:jc w:val="center"/>
              <w:rPr>
                <w:rFonts w:cs="Calibri"/>
                <w:b/>
                <w:sz w:val="22"/>
                <w:szCs w:val="22"/>
              </w:rPr>
            </w:pPr>
            <w:r w:rsidRPr="00237521">
              <w:rPr>
                <w:rFonts w:cs="Calibri"/>
                <w:b/>
                <w:sz w:val="22"/>
                <w:szCs w:val="22"/>
              </w:rPr>
              <w:t>0.048</w:t>
            </w:r>
          </w:p>
        </w:tc>
        <w:tc>
          <w:tcPr>
            <w:tcW w:w="955" w:type="dxa"/>
            <w:tcBorders>
              <w:top w:val="nil"/>
              <w:left w:val="nil"/>
              <w:bottom w:val="double" w:sz="6" w:space="0" w:color="auto"/>
              <w:right w:val="single" w:sz="4" w:space="0" w:color="auto"/>
            </w:tcBorders>
            <w:shd w:val="clear" w:color="000000" w:fill="FFFFFF"/>
            <w:noWrap/>
            <w:vAlign w:val="bottom"/>
            <w:hideMark/>
          </w:tcPr>
          <w:p w14:paraId="2290CF6B" w14:textId="77777777" w:rsidR="00CD7CF9" w:rsidRPr="00237521" w:rsidRDefault="00CD7CF9" w:rsidP="00237521">
            <w:pPr>
              <w:keepNext/>
              <w:jc w:val="center"/>
              <w:rPr>
                <w:rFonts w:cs="Calibri"/>
                <w:b/>
                <w:sz w:val="22"/>
                <w:szCs w:val="22"/>
              </w:rPr>
            </w:pPr>
            <w:r w:rsidRPr="00237521">
              <w:rPr>
                <w:rFonts w:cs="Calibri"/>
                <w:b/>
                <w:sz w:val="22"/>
                <w:szCs w:val="22"/>
              </w:rPr>
              <w:t>5.4%</w:t>
            </w:r>
          </w:p>
        </w:tc>
        <w:tc>
          <w:tcPr>
            <w:tcW w:w="955" w:type="dxa"/>
            <w:tcBorders>
              <w:top w:val="nil"/>
              <w:left w:val="nil"/>
              <w:bottom w:val="double" w:sz="6" w:space="0" w:color="auto"/>
              <w:right w:val="single" w:sz="4" w:space="0" w:color="auto"/>
            </w:tcBorders>
            <w:shd w:val="clear" w:color="000000" w:fill="FFFFFF"/>
            <w:noWrap/>
            <w:vAlign w:val="bottom"/>
            <w:hideMark/>
          </w:tcPr>
          <w:p w14:paraId="28720F1E" w14:textId="77777777" w:rsidR="00CD7CF9" w:rsidRPr="00237521" w:rsidRDefault="00CD7CF9" w:rsidP="00237521">
            <w:pPr>
              <w:keepNext/>
              <w:jc w:val="center"/>
              <w:rPr>
                <w:rFonts w:cs="Calibri"/>
                <w:b/>
                <w:sz w:val="22"/>
                <w:szCs w:val="22"/>
              </w:rPr>
            </w:pPr>
            <w:r w:rsidRPr="00237521">
              <w:rPr>
                <w:rFonts w:cs="Calibri"/>
                <w:b/>
                <w:sz w:val="22"/>
                <w:szCs w:val="22"/>
              </w:rPr>
              <w:t>77</w:t>
            </w:r>
          </w:p>
        </w:tc>
      </w:tr>
      <w:tr w:rsidR="00CD7CF9" w:rsidRPr="00CD7CF9" w14:paraId="5E9B24BC" w14:textId="77777777" w:rsidTr="00E2310D">
        <w:trPr>
          <w:trHeight w:val="20"/>
          <w:jc w:val="center"/>
        </w:trPr>
        <w:tc>
          <w:tcPr>
            <w:tcW w:w="966" w:type="dxa"/>
            <w:vMerge w:val="restart"/>
            <w:tcBorders>
              <w:top w:val="nil"/>
              <w:left w:val="single" w:sz="4" w:space="0" w:color="auto"/>
              <w:bottom w:val="single" w:sz="4" w:space="0" w:color="000000"/>
              <w:right w:val="nil"/>
            </w:tcBorders>
            <w:shd w:val="clear" w:color="auto" w:fill="auto"/>
            <w:vAlign w:val="center"/>
            <w:hideMark/>
          </w:tcPr>
          <w:p w14:paraId="2A049065" w14:textId="77777777" w:rsidR="00CD7CF9" w:rsidRPr="00CD7CF9" w:rsidRDefault="00CD7CF9" w:rsidP="00237521">
            <w:pPr>
              <w:keepNext/>
              <w:jc w:val="center"/>
              <w:rPr>
                <w:rFonts w:cs="Calibri"/>
                <w:sz w:val="22"/>
                <w:szCs w:val="22"/>
              </w:rPr>
            </w:pPr>
            <w:r w:rsidRPr="00CD7CF9">
              <w:rPr>
                <w:rFonts w:cs="Calibri"/>
                <w:sz w:val="22"/>
                <w:szCs w:val="22"/>
              </w:rPr>
              <w:t>Winter</w:t>
            </w:r>
          </w:p>
        </w:tc>
        <w:tc>
          <w:tcPr>
            <w:tcW w:w="955" w:type="dxa"/>
            <w:tcBorders>
              <w:top w:val="nil"/>
              <w:left w:val="single" w:sz="4" w:space="0" w:color="auto"/>
              <w:bottom w:val="nil"/>
              <w:right w:val="single" w:sz="4" w:space="0" w:color="auto"/>
            </w:tcBorders>
            <w:shd w:val="clear" w:color="000000" w:fill="FFFFFF"/>
            <w:noWrap/>
            <w:vAlign w:val="bottom"/>
            <w:hideMark/>
          </w:tcPr>
          <w:p w14:paraId="0C244651" w14:textId="77777777" w:rsidR="00CD7CF9" w:rsidRPr="00CD7CF9" w:rsidRDefault="00CD7CF9" w:rsidP="00237521">
            <w:pPr>
              <w:keepNext/>
              <w:jc w:val="center"/>
              <w:rPr>
                <w:rFonts w:cs="Calibri"/>
                <w:sz w:val="22"/>
                <w:szCs w:val="22"/>
              </w:rPr>
            </w:pPr>
            <w:r w:rsidRPr="00CD7CF9">
              <w:rPr>
                <w:rFonts w:cs="Calibri"/>
                <w:sz w:val="22"/>
                <w:szCs w:val="22"/>
              </w:rPr>
              <w:t>Coastal</w:t>
            </w:r>
          </w:p>
        </w:tc>
        <w:tc>
          <w:tcPr>
            <w:tcW w:w="1133" w:type="dxa"/>
            <w:tcBorders>
              <w:top w:val="nil"/>
              <w:left w:val="nil"/>
              <w:bottom w:val="nil"/>
              <w:right w:val="single" w:sz="4" w:space="0" w:color="auto"/>
            </w:tcBorders>
            <w:shd w:val="clear" w:color="000000" w:fill="FFFFFF"/>
            <w:noWrap/>
            <w:vAlign w:val="bottom"/>
            <w:hideMark/>
          </w:tcPr>
          <w:p w14:paraId="66AA39CF" w14:textId="77777777" w:rsidR="00CD7CF9" w:rsidRPr="00CD7CF9" w:rsidRDefault="00CD7CF9" w:rsidP="00237521">
            <w:pPr>
              <w:keepNext/>
              <w:jc w:val="center"/>
              <w:rPr>
                <w:rFonts w:cs="Calibri"/>
                <w:sz w:val="22"/>
                <w:szCs w:val="22"/>
              </w:rPr>
            </w:pPr>
            <w:r w:rsidRPr="00CD7CF9">
              <w:rPr>
                <w:rFonts w:cs="Calibri"/>
                <w:sz w:val="22"/>
                <w:szCs w:val="22"/>
              </w:rPr>
              <w:t>443</w:t>
            </w:r>
          </w:p>
        </w:tc>
        <w:tc>
          <w:tcPr>
            <w:tcW w:w="1069" w:type="dxa"/>
            <w:tcBorders>
              <w:top w:val="nil"/>
              <w:left w:val="nil"/>
              <w:bottom w:val="nil"/>
              <w:right w:val="nil"/>
            </w:tcBorders>
            <w:shd w:val="clear" w:color="000000" w:fill="FFFFFF"/>
            <w:noWrap/>
            <w:vAlign w:val="bottom"/>
            <w:hideMark/>
          </w:tcPr>
          <w:p w14:paraId="2B78B6BB" w14:textId="77777777" w:rsidR="00CD7CF9" w:rsidRPr="00CD7CF9" w:rsidRDefault="00CD7CF9" w:rsidP="00237521">
            <w:pPr>
              <w:keepNext/>
              <w:jc w:val="center"/>
              <w:rPr>
                <w:rFonts w:cs="Calibri"/>
                <w:sz w:val="22"/>
                <w:szCs w:val="22"/>
              </w:rPr>
            </w:pPr>
            <w:r w:rsidRPr="00CD7CF9">
              <w:rPr>
                <w:rFonts w:cs="Calibri"/>
                <w:sz w:val="22"/>
                <w:szCs w:val="22"/>
              </w:rPr>
              <w:t>0.46</w:t>
            </w:r>
          </w:p>
        </w:tc>
        <w:tc>
          <w:tcPr>
            <w:tcW w:w="1069" w:type="dxa"/>
            <w:tcBorders>
              <w:top w:val="nil"/>
              <w:left w:val="nil"/>
              <w:bottom w:val="nil"/>
              <w:right w:val="single" w:sz="4" w:space="0" w:color="auto"/>
            </w:tcBorders>
            <w:shd w:val="clear" w:color="000000" w:fill="FFFFFF"/>
            <w:noWrap/>
            <w:vAlign w:val="bottom"/>
            <w:hideMark/>
          </w:tcPr>
          <w:p w14:paraId="5106F96D" w14:textId="77777777" w:rsidR="00CD7CF9" w:rsidRPr="00CD7CF9" w:rsidRDefault="00CD7CF9" w:rsidP="00237521">
            <w:pPr>
              <w:keepNext/>
              <w:jc w:val="center"/>
              <w:rPr>
                <w:rFonts w:cs="Calibri"/>
                <w:sz w:val="22"/>
                <w:szCs w:val="22"/>
              </w:rPr>
            </w:pPr>
            <w:r w:rsidRPr="00CD7CF9">
              <w:rPr>
                <w:rFonts w:cs="Calibri"/>
                <w:sz w:val="22"/>
                <w:szCs w:val="22"/>
              </w:rPr>
              <w:t>-0.02</w:t>
            </w:r>
          </w:p>
        </w:tc>
        <w:tc>
          <w:tcPr>
            <w:tcW w:w="983" w:type="dxa"/>
            <w:tcBorders>
              <w:top w:val="nil"/>
              <w:left w:val="nil"/>
              <w:bottom w:val="nil"/>
              <w:right w:val="nil"/>
            </w:tcBorders>
            <w:shd w:val="clear" w:color="000000" w:fill="FFFFFF"/>
            <w:noWrap/>
            <w:vAlign w:val="bottom"/>
            <w:hideMark/>
          </w:tcPr>
          <w:p w14:paraId="139BAE1B" w14:textId="19721264" w:rsidR="00CD7CF9" w:rsidRPr="00CD7CF9" w:rsidRDefault="00CD7CF9" w:rsidP="00237521">
            <w:pPr>
              <w:keepNext/>
              <w:jc w:val="center"/>
              <w:rPr>
                <w:rFonts w:cs="Calibri"/>
                <w:sz w:val="22"/>
                <w:szCs w:val="22"/>
              </w:rPr>
            </w:pPr>
            <w:r w:rsidRPr="00CD7CF9">
              <w:rPr>
                <w:rFonts w:cs="Calibri"/>
                <w:sz w:val="22"/>
                <w:szCs w:val="22"/>
              </w:rPr>
              <w:t>1.05</w:t>
            </w:r>
          </w:p>
        </w:tc>
        <w:tc>
          <w:tcPr>
            <w:tcW w:w="983" w:type="dxa"/>
            <w:tcBorders>
              <w:top w:val="nil"/>
              <w:left w:val="nil"/>
              <w:bottom w:val="nil"/>
              <w:right w:val="single" w:sz="4" w:space="0" w:color="auto"/>
            </w:tcBorders>
            <w:shd w:val="clear" w:color="000000" w:fill="FFFFFF"/>
            <w:noWrap/>
            <w:vAlign w:val="bottom"/>
            <w:hideMark/>
          </w:tcPr>
          <w:p w14:paraId="5672FDAD" w14:textId="77777777" w:rsidR="00CD7CF9" w:rsidRPr="00CD7CF9" w:rsidRDefault="00CD7CF9" w:rsidP="00237521">
            <w:pPr>
              <w:keepNext/>
              <w:jc w:val="center"/>
              <w:rPr>
                <w:rFonts w:cs="Calibri"/>
                <w:sz w:val="22"/>
                <w:szCs w:val="22"/>
              </w:rPr>
            </w:pPr>
            <w:r w:rsidRPr="00CD7CF9">
              <w:rPr>
                <w:rFonts w:cs="Calibri"/>
                <w:sz w:val="22"/>
                <w:szCs w:val="22"/>
              </w:rPr>
              <w:t>-0.047</w:t>
            </w:r>
          </w:p>
        </w:tc>
        <w:tc>
          <w:tcPr>
            <w:tcW w:w="955" w:type="dxa"/>
            <w:tcBorders>
              <w:top w:val="nil"/>
              <w:left w:val="nil"/>
              <w:bottom w:val="nil"/>
              <w:right w:val="single" w:sz="4" w:space="0" w:color="auto"/>
            </w:tcBorders>
            <w:shd w:val="clear" w:color="000000" w:fill="FFFFFF"/>
            <w:noWrap/>
            <w:vAlign w:val="bottom"/>
            <w:hideMark/>
          </w:tcPr>
          <w:p w14:paraId="147AB4B6" w14:textId="77777777" w:rsidR="00CD7CF9" w:rsidRPr="00CD7CF9" w:rsidRDefault="00CD7CF9" w:rsidP="00237521">
            <w:pPr>
              <w:keepNext/>
              <w:jc w:val="center"/>
              <w:rPr>
                <w:rFonts w:cs="Calibri"/>
                <w:sz w:val="22"/>
                <w:szCs w:val="22"/>
              </w:rPr>
            </w:pPr>
            <w:r w:rsidRPr="00CD7CF9">
              <w:rPr>
                <w:rFonts w:cs="Calibri"/>
                <w:sz w:val="22"/>
                <w:szCs w:val="22"/>
              </w:rPr>
              <w:t>-4.5%</w:t>
            </w:r>
          </w:p>
        </w:tc>
        <w:tc>
          <w:tcPr>
            <w:tcW w:w="955" w:type="dxa"/>
            <w:tcBorders>
              <w:top w:val="nil"/>
              <w:left w:val="nil"/>
              <w:bottom w:val="nil"/>
              <w:right w:val="single" w:sz="4" w:space="0" w:color="auto"/>
            </w:tcBorders>
            <w:shd w:val="clear" w:color="000000" w:fill="FFFFFF"/>
            <w:noWrap/>
            <w:vAlign w:val="bottom"/>
            <w:hideMark/>
          </w:tcPr>
          <w:p w14:paraId="42735BF2" w14:textId="77777777" w:rsidR="00CD7CF9" w:rsidRPr="00CD7CF9" w:rsidRDefault="00CD7CF9" w:rsidP="00237521">
            <w:pPr>
              <w:keepNext/>
              <w:jc w:val="center"/>
              <w:rPr>
                <w:rFonts w:cs="Calibri"/>
                <w:sz w:val="22"/>
                <w:szCs w:val="22"/>
              </w:rPr>
            </w:pPr>
            <w:r w:rsidRPr="00CD7CF9">
              <w:rPr>
                <w:rFonts w:cs="Calibri"/>
                <w:sz w:val="22"/>
                <w:szCs w:val="22"/>
              </w:rPr>
              <w:t>63</w:t>
            </w:r>
          </w:p>
        </w:tc>
      </w:tr>
      <w:tr w:rsidR="00CD7CF9" w:rsidRPr="00CD7CF9" w14:paraId="76BDE856" w14:textId="77777777" w:rsidTr="00E2310D">
        <w:trPr>
          <w:trHeight w:val="20"/>
          <w:jc w:val="center"/>
        </w:trPr>
        <w:tc>
          <w:tcPr>
            <w:tcW w:w="966" w:type="dxa"/>
            <w:vMerge/>
            <w:tcBorders>
              <w:top w:val="nil"/>
              <w:left w:val="single" w:sz="4" w:space="0" w:color="auto"/>
              <w:bottom w:val="single" w:sz="4" w:space="0" w:color="000000"/>
              <w:right w:val="nil"/>
            </w:tcBorders>
            <w:vAlign w:val="center"/>
            <w:hideMark/>
          </w:tcPr>
          <w:p w14:paraId="00DD27A1" w14:textId="77777777" w:rsidR="00CD7CF9" w:rsidRPr="00CD7CF9" w:rsidRDefault="00CD7CF9" w:rsidP="00237521">
            <w:pPr>
              <w:keepNext/>
              <w:rPr>
                <w:rFonts w:cs="Calibri"/>
                <w:sz w:val="22"/>
                <w:szCs w:val="22"/>
              </w:rPr>
            </w:pPr>
          </w:p>
        </w:tc>
        <w:tc>
          <w:tcPr>
            <w:tcW w:w="955" w:type="dxa"/>
            <w:tcBorders>
              <w:top w:val="nil"/>
              <w:left w:val="single" w:sz="4" w:space="0" w:color="auto"/>
              <w:bottom w:val="nil"/>
              <w:right w:val="single" w:sz="4" w:space="0" w:color="auto"/>
            </w:tcBorders>
            <w:shd w:val="clear" w:color="000000" w:fill="FFFFFF"/>
            <w:noWrap/>
            <w:vAlign w:val="bottom"/>
            <w:hideMark/>
          </w:tcPr>
          <w:p w14:paraId="3F45EB1C" w14:textId="77777777" w:rsidR="00CD7CF9" w:rsidRPr="00CD7CF9" w:rsidRDefault="00CD7CF9" w:rsidP="00237521">
            <w:pPr>
              <w:keepNext/>
              <w:jc w:val="center"/>
              <w:rPr>
                <w:rFonts w:cs="Calibri"/>
                <w:sz w:val="22"/>
                <w:szCs w:val="22"/>
              </w:rPr>
            </w:pPr>
            <w:r w:rsidRPr="00CD7CF9">
              <w:rPr>
                <w:rFonts w:cs="Calibri"/>
                <w:sz w:val="22"/>
                <w:szCs w:val="22"/>
              </w:rPr>
              <w:t>Inland</w:t>
            </w:r>
          </w:p>
        </w:tc>
        <w:tc>
          <w:tcPr>
            <w:tcW w:w="1133" w:type="dxa"/>
            <w:tcBorders>
              <w:top w:val="nil"/>
              <w:left w:val="nil"/>
              <w:bottom w:val="nil"/>
              <w:right w:val="single" w:sz="4" w:space="0" w:color="auto"/>
            </w:tcBorders>
            <w:shd w:val="clear" w:color="000000" w:fill="FFFFFF"/>
            <w:noWrap/>
            <w:vAlign w:val="bottom"/>
            <w:hideMark/>
          </w:tcPr>
          <w:p w14:paraId="78595DAC" w14:textId="77777777" w:rsidR="00CD7CF9" w:rsidRPr="00CD7CF9" w:rsidRDefault="00CD7CF9" w:rsidP="00237521">
            <w:pPr>
              <w:keepNext/>
              <w:jc w:val="center"/>
              <w:rPr>
                <w:rFonts w:cs="Calibri"/>
                <w:sz w:val="22"/>
                <w:szCs w:val="22"/>
              </w:rPr>
            </w:pPr>
            <w:r w:rsidRPr="00CD7CF9">
              <w:rPr>
                <w:rFonts w:cs="Calibri"/>
                <w:sz w:val="22"/>
                <w:szCs w:val="22"/>
              </w:rPr>
              <w:t>344</w:t>
            </w:r>
          </w:p>
        </w:tc>
        <w:tc>
          <w:tcPr>
            <w:tcW w:w="1069" w:type="dxa"/>
            <w:tcBorders>
              <w:top w:val="nil"/>
              <w:left w:val="nil"/>
              <w:bottom w:val="nil"/>
              <w:right w:val="nil"/>
            </w:tcBorders>
            <w:shd w:val="clear" w:color="000000" w:fill="FFFFFF"/>
            <w:noWrap/>
            <w:vAlign w:val="bottom"/>
            <w:hideMark/>
          </w:tcPr>
          <w:p w14:paraId="176B8640" w14:textId="77777777" w:rsidR="00CD7CF9" w:rsidRPr="00CD7CF9" w:rsidRDefault="00CD7CF9" w:rsidP="00237521">
            <w:pPr>
              <w:keepNext/>
              <w:jc w:val="center"/>
              <w:rPr>
                <w:rFonts w:cs="Calibri"/>
                <w:sz w:val="22"/>
                <w:szCs w:val="22"/>
              </w:rPr>
            </w:pPr>
            <w:r w:rsidRPr="00CD7CF9">
              <w:rPr>
                <w:rFonts w:cs="Calibri"/>
                <w:sz w:val="22"/>
                <w:szCs w:val="22"/>
              </w:rPr>
              <w:t>0.33</w:t>
            </w:r>
          </w:p>
        </w:tc>
        <w:tc>
          <w:tcPr>
            <w:tcW w:w="1069" w:type="dxa"/>
            <w:tcBorders>
              <w:top w:val="nil"/>
              <w:left w:val="nil"/>
              <w:bottom w:val="nil"/>
              <w:right w:val="single" w:sz="4" w:space="0" w:color="auto"/>
            </w:tcBorders>
            <w:shd w:val="clear" w:color="000000" w:fill="FFFFFF"/>
            <w:noWrap/>
            <w:vAlign w:val="bottom"/>
            <w:hideMark/>
          </w:tcPr>
          <w:p w14:paraId="1309F4FB" w14:textId="77777777" w:rsidR="00CD7CF9" w:rsidRPr="00CD7CF9" w:rsidRDefault="00CD7CF9" w:rsidP="00237521">
            <w:pPr>
              <w:keepNext/>
              <w:jc w:val="center"/>
              <w:rPr>
                <w:rFonts w:cs="Calibri"/>
                <w:sz w:val="22"/>
                <w:szCs w:val="22"/>
              </w:rPr>
            </w:pPr>
            <w:r w:rsidRPr="00CD7CF9">
              <w:rPr>
                <w:rFonts w:cs="Calibri"/>
                <w:sz w:val="22"/>
                <w:szCs w:val="22"/>
              </w:rPr>
              <w:t>-0.01</w:t>
            </w:r>
          </w:p>
        </w:tc>
        <w:tc>
          <w:tcPr>
            <w:tcW w:w="983" w:type="dxa"/>
            <w:tcBorders>
              <w:top w:val="nil"/>
              <w:left w:val="nil"/>
              <w:bottom w:val="nil"/>
              <w:right w:val="nil"/>
            </w:tcBorders>
            <w:shd w:val="clear" w:color="000000" w:fill="FFFFFF"/>
            <w:noWrap/>
            <w:vAlign w:val="bottom"/>
            <w:hideMark/>
          </w:tcPr>
          <w:p w14:paraId="00080FB6" w14:textId="06C0C3D5" w:rsidR="00CD7CF9" w:rsidRPr="00CD7CF9" w:rsidRDefault="00CD7CF9" w:rsidP="00237521">
            <w:pPr>
              <w:keepNext/>
              <w:jc w:val="center"/>
              <w:rPr>
                <w:rFonts w:cs="Calibri"/>
                <w:sz w:val="22"/>
                <w:szCs w:val="22"/>
              </w:rPr>
            </w:pPr>
            <w:r w:rsidRPr="00CD7CF9">
              <w:rPr>
                <w:rFonts w:cs="Calibri"/>
                <w:sz w:val="22"/>
                <w:szCs w:val="22"/>
              </w:rPr>
              <w:t>0.95</w:t>
            </w:r>
          </w:p>
        </w:tc>
        <w:tc>
          <w:tcPr>
            <w:tcW w:w="983" w:type="dxa"/>
            <w:tcBorders>
              <w:top w:val="nil"/>
              <w:left w:val="nil"/>
              <w:bottom w:val="nil"/>
              <w:right w:val="single" w:sz="4" w:space="0" w:color="auto"/>
            </w:tcBorders>
            <w:shd w:val="clear" w:color="000000" w:fill="FFFFFF"/>
            <w:noWrap/>
            <w:vAlign w:val="bottom"/>
            <w:hideMark/>
          </w:tcPr>
          <w:p w14:paraId="504F7A61" w14:textId="77777777" w:rsidR="00CD7CF9" w:rsidRPr="00CD7CF9" w:rsidRDefault="00CD7CF9" w:rsidP="00237521">
            <w:pPr>
              <w:keepNext/>
              <w:jc w:val="center"/>
              <w:rPr>
                <w:rFonts w:cs="Calibri"/>
                <w:sz w:val="22"/>
                <w:szCs w:val="22"/>
              </w:rPr>
            </w:pPr>
            <w:r w:rsidRPr="00CD7CF9">
              <w:rPr>
                <w:rFonts w:cs="Calibri"/>
                <w:sz w:val="22"/>
                <w:szCs w:val="22"/>
              </w:rPr>
              <w:t>-0.015</w:t>
            </w:r>
          </w:p>
        </w:tc>
        <w:tc>
          <w:tcPr>
            <w:tcW w:w="955" w:type="dxa"/>
            <w:tcBorders>
              <w:top w:val="nil"/>
              <w:left w:val="nil"/>
              <w:bottom w:val="nil"/>
              <w:right w:val="single" w:sz="4" w:space="0" w:color="auto"/>
            </w:tcBorders>
            <w:shd w:val="clear" w:color="000000" w:fill="FFFFFF"/>
            <w:noWrap/>
            <w:vAlign w:val="bottom"/>
            <w:hideMark/>
          </w:tcPr>
          <w:p w14:paraId="1416BD19" w14:textId="77777777" w:rsidR="00CD7CF9" w:rsidRPr="00CD7CF9" w:rsidRDefault="00CD7CF9" w:rsidP="00237521">
            <w:pPr>
              <w:keepNext/>
              <w:jc w:val="center"/>
              <w:rPr>
                <w:rFonts w:cs="Calibri"/>
                <w:sz w:val="22"/>
                <w:szCs w:val="22"/>
              </w:rPr>
            </w:pPr>
            <w:r w:rsidRPr="00CD7CF9">
              <w:rPr>
                <w:rFonts w:cs="Calibri"/>
                <w:sz w:val="22"/>
                <w:szCs w:val="22"/>
              </w:rPr>
              <w:t>-1.6%</w:t>
            </w:r>
          </w:p>
        </w:tc>
        <w:tc>
          <w:tcPr>
            <w:tcW w:w="955" w:type="dxa"/>
            <w:tcBorders>
              <w:top w:val="nil"/>
              <w:left w:val="nil"/>
              <w:bottom w:val="nil"/>
              <w:right w:val="single" w:sz="4" w:space="0" w:color="auto"/>
            </w:tcBorders>
            <w:shd w:val="clear" w:color="000000" w:fill="FFFFFF"/>
            <w:noWrap/>
            <w:vAlign w:val="bottom"/>
            <w:hideMark/>
          </w:tcPr>
          <w:p w14:paraId="476131BD" w14:textId="77777777" w:rsidR="00CD7CF9" w:rsidRPr="00CD7CF9" w:rsidRDefault="00CD7CF9" w:rsidP="00237521">
            <w:pPr>
              <w:keepNext/>
              <w:jc w:val="center"/>
              <w:rPr>
                <w:rFonts w:cs="Calibri"/>
                <w:sz w:val="22"/>
                <w:szCs w:val="22"/>
              </w:rPr>
            </w:pPr>
            <w:r w:rsidRPr="00CD7CF9">
              <w:rPr>
                <w:rFonts w:cs="Calibri"/>
                <w:sz w:val="22"/>
                <w:szCs w:val="22"/>
              </w:rPr>
              <w:t>62</w:t>
            </w:r>
          </w:p>
        </w:tc>
      </w:tr>
      <w:tr w:rsidR="00CD7CF9" w:rsidRPr="00CD7CF9" w14:paraId="6181EC05" w14:textId="77777777" w:rsidTr="00E2310D">
        <w:trPr>
          <w:trHeight w:val="20"/>
          <w:jc w:val="center"/>
        </w:trPr>
        <w:tc>
          <w:tcPr>
            <w:tcW w:w="966" w:type="dxa"/>
            <w:vMerge/>
            <w:tcBorders>
              <w:top w:val="nil"/>
              <w:left w:val="single" w:sz="4" w:space="0" w:color="auto"/>
              <w:bottom w:val="single" w:sz="4" w:space="0" w:color="000000"/>
              <w:right w:val="nil"/>
            </w:tcBorders>
            <w:vAlign w:val="center"/>
            <w:hideMark/>
          </w:tcPr>
          <w:p w14:paraId="6E8732C9" w14:textId="77777777" w:rsidR="00CD7CF9" w:rsidRPr="00CD7CF9" w:rsidRDefault="00CD7CF9" w:rsidP="00237521">
            <w:pPr>
              <w:keepNext/>
              <w:rPr>
                <w:rFonts w:cs="Calibri"/>
                <w:sz w:val="22"/>
                <w:szCs w:val="22"/>
              </w:rPr>
            </w:pPr>
          </w:p>
        </w:tc>
        <w:tc>
          <w:tcPr>
            <w:tcW w:w="955" w:type="dxa"/>
            <w:tcBorders>
              <w:top w:val="nil"/>
              <w:left w:val="single" w:sz="4" w:space="0" w:color="auto"/>
              <w:bottom w:val="single" w:sz="4" w:space="0" w:color="auto"/>
              <w:right w:val="single" w:sz="4" w:space="0" w:color="auto"/>
            </w:tcBorders>
            <w:shd w:val="clear" w:color="000000" w:fill="FFFFFF"/>
            <w:noWrap/>
            <w:vAlign w:val="bottom"/>
            <w:hideMark/>
          </w:tcPr>
          <w:p w14:paraId="53B4397C" w14:textId="77777777" w:rsidR="00CD7CF9" w:rsidRPr="00237521" w:rsidRDefault="00CD7CF9" w:rsidP="00237521">
            <w:pPr>
              <w:keepNext/>
              <w:jc w:val="center"/>
              <w:rPr>
                <w:rFonts w:cs="Calibri"/>
                <w:b/>
                <w:sz w:val="22"/>
                <w:szCs w:val="22"/>
              </w:rPr>
            </w:pPr>
            <w:r w:rsidRPr="00237521">
              <w:rPr>
                <w:rFonts w:cs="Calibri"/>
                <w:b/>
                <w:sz w:val="22"/>
                <w:szCs w:val="22"/>
              </w:rPr>
              <w:t>All</w:t>
            </w:r>
          </w:p>
        </w:tc>
        <w:tc>
          <w:tcPr>
            <w:tcW w:w="1133" w:type="dxa"/>
            <w:tcBorders>
              <w:top w:val="nil"/>
              <w:left w:val="nil"/>
              <w:bottom w:val="single" w:sz="4" w:space="0" w:color="auto"/>
              <w:right w:val="single" w:sz="4" w:space="0" w:color="auto"/>
            </w:tcBorders>
            <w:shd w:val="clear" w:color="000000" w:fill="FFFFFF"/>
            <w:noWrap/>
            <w:vAlign w:val="bottom"/>
            <w:hideMark/>
          </w:tcPr>
          <w:p w14:paraId="440E3C9D" w14:textId="77777777" w:rsidR="00CD7CF9" w:rsidRPr="00237521" w:rsidRDefault="00CD7CF9" w:rsidP="00237521">
            <w:pPr>
              <w:keepNext/>
              <w:jc w:val="center"/>
              <w:rPr>
                <w:rFonts w:cs="Calibri"/>
                <w:b/>
                <w:sz w:val="22"/>
                <w:szCs w:val="22"/>
              </w:rPr>
            </w:pPr>
            <w:r w:rsidRPr="00237521">
              <w:rPr>
                <w:rFonts w:cs="Calibri"/>
                <w:b/>
                <w:sz w:val="22"/>
                <w:szCs w:val="22"/>
              </w:rPr>
              <w:t>787</w:t>
            </w:r>
          </w:p>
        </w:tc>
        <w:tc>
          <w:tcPr>
            <w:tcW w:w="1069" w:type="dxa"/>
            <w:tcBorders>
              <w:top w:val="nil"/>
              <w:left w:val="nil"/>
              <w:bottom w:val="single" w:sz="4" w:space="0" w:color="auto"/>
              <w:right w:val="nil"/>
            </w:tcBorders>
            <w:shd w:val="clear" w:color="000000" w:fill="FFFFFF"/>
            <w:noWrap/>
            <w:vAlign w:val="bottom"/>
            <w:hideMark/>
          </w:tcPr>
          <w:p w14:paraId="71382275" w14:textId="77777777" w:rsidR="00CD7CF9" w:rsidRPr="00237521" w:rsidRDefault="00CD7CF9" w:rsidP="00237521">
            <w:pPr>
              <w:keepNext/>
              <w:jc w:val="center"/>
              <w:rPr>
                <w:rFonts w:cs="Calibri"/>
                <w:b/>
                <w:sz w:val="22"/>
                <w:szCs w:val="22"/>
              </w:rPr>
            </w:pPr>
            <w:r w:rsidRPr="00237521">
              <w:rPr>
                <w:rFonts w:cs="Calibri"/>
                <w:b/>
                <w:sz w:val="22"/>
                <w:szCs w:val="22"/>
              </w:rPr>
              <w:t>0.79</w:t>
            </w:r>
          </w:p>
        </w:tc>
        <w:tc>
          <w:tcPr>
            <w:tcW w:w="1069" w:type="dxa"/>
            <w:tcBorders>
              <w:top w:val="nil"/>
              <w:left w:val="nil"/>
              <w:bottom w:val="single" w:sz="4" w:space="0" w:color="auto"/>
              <w:right w:val="single" w:sz="4" w:space="0" w:color="auto"/>
            </w:tcBorders>
            <w:shd w:val="clear" w:color="000000" w:fill="FFFFFF"/>
            <w:noWrap/>
            <w:vAlign w:val="bottom"/>
            <w:hideMark/>
          </w:tcPr>
          <w:p w14:paraId="118ED107" w14:textId="77777777" w:rsidR="00CD7CF9" w:rsidRPr="00237521" w:rsidRDefault="00CD7CF9" w:rsidP="00237521">
            <w:pPr>
              <w:keepNext/>
              <w:jc w:val="center"/>
              <w:rPr>
                <w:rFonts w:cs="Calibri"/>
                <w:b/>
                <w:sz w:val="22"/>
                <w:szCs w:val="22"/>
              </w:rPr>
            </w:pPr>
            <w:r w:rsidRPr="00237521">
              <w:rPr>
                <w:rFonts w:cs="Calibri"/>
                <w:b/>
                <w:sz w:val="22"/>
                <w:szCs w:val="22"/>
              </w:rPr>
              <w:t>-0.03</w:t>
            </w:r>
          </w:p>
        </w:tc>
        <w:tc>
          <w:tcPr>
            <w:tcW w:w="983" w:type="dxa"/>
            <w:tcBorders>
              <w:top w:val="nil"/>
              <w:left w:val="nil"/>
              <w:bottom w:val="single" w:sz="4" w:space="0" w:color="auto"/>
              <w:right w:val="nil"/>
            </w:tcBorders>
            <w:shd w:val="clear" w:color="000000" w:fill="FFFFFF"/>
            <w:noWrap/>
            <w:vAlign w:val="bottom"/>
            <w:hideMark/>
          </w:tcPr>
          <w:p w14:paraId="2EF5AA06" w14:textId="2137CF0E" w:rsidR="00CD7CF9" w:rsidRPr="00237521" w:rsidRDefault="00CD7CF9" w:rsidP="00237521">
            <w:pPr>
              <w:keepNext/>
              <w:jc w:val="center"/>
              <w:rPr>
                <w:rFonts w:cs="Calibri"/>
                <w:b/>
                <w:sz w:val="22"/>
                <w:szCs w:val="22"/>
              </w:rPr>
            </w:pPr>
            <w:r w:rsidRPr="00237521">
              <w:rPr>
                <w:rFonts w:cs="Calibri"/>
                <w:b/>
                <w:sz w:val="22"/>
                <w:szCs w:val="22"/>
              </w:rPr>
              <w:t>1.01</w:t>
            </w:r>
          </w:p>
        </w:tc>
        <w:tc>
          <w:tcPr>
            <w:tcW w:w="983" w:type="dxa"/>
            <w:tcBorders>
              <w:top w:val="nil"/>
              <w:left w:val="nil"/>
              <w:bottom w:val="single" w:sz="4" w:space="0" w:color="auto"/>
              <w:right w:val="single" w:sz="4" w:space="0" w:color="auto"/>
            </w:tcBorders>
            <w:shd w:val="clear" w:color="000000" w:fill="FFFFFF"/>
            <w:noWrap/>
            <w:vAlign w:val="bottom"/>
            <w:hideMark/>
          </w:tcPr>
          <w:p w14:paraId="21886FAA" w14:textId="77777777" w:rsidR="00CD7CF9" w:rsidRPr="00237521" w:rsidRDefault="00CD7CF9" w:rsidP="00237521">
            <w:pPr>
              <w:keepNext/>
              <w:jc w:val="center"/>
              <w:rPr>
                <w:rFonts w:cs="Calibri"/>
                <w:b/>
                <w:sz w:val="22"/>
                <w:szCs w:val="22"/>
              </w:rPr>
            </w:pPr>
            <w:r w:rsidRPr="00237521">
              <w:rPr>
                <w:rFonts w:cs="Calibri"/>
                <w:b/>
                <w:sz w:val="22"/>
                <w:szCs w:val="22"/>
              </w:rPr>
              <w:t>-0.033</w:t>
            </w:r>
          </w:p>
        </w:tc>
        <w:tc>
          <w:tcPr>
            <w:tcW w:w="955" w:type="dxa"/>
            <w:tcBorders>
              <w:top w:val="nil"/>
              <w:left w:val="nil"/>
              <w:bottom w:val="single" w:sz="4" w:space="0" w:color="auto"/>
              <w:right w:val="single" w:sz="4" w:space="0" w:color="auto"/>
            </w:tcBorders>
            <w:shd w:val="clear" w:color="000000" w:fill="FFFFFF"/>
            <w:noWrap/>
            <w:vAlign w:val="bottom"/>
            <w:hideMark/>
          </w:tcPr>
          <w:p w14:paraId="0A308B2D" w14:textId="77777777" w:rsidR="00CD7CF9" w:rsidRPr="00237521" w:rsidRDefault="00CD7CF9" w:rsidP="00237521">
            <w:pPr>
              <w:keepNext/>
              <w:jc w:val="center"/>
              <w:rPr>
                <w:rFonts w:cs="Calibri"/>
                <w:b/>
                <w:sz w:val="22"/>
                <w:szCs w:val="22"/>
              </w:rPr>
            </w:pPr>
            <w:r w:rsidRPr="00237521">
              <w:rPr>
                <w:rFonts w:cs="Calibri"/>
                <w:b/>
                <w:sz w:val="22"/>
                <w:szCs w:val="22"/>
              </w:rPr>
              <w:t>-3.3%</w:t>
            </w:r>
          </w:p>
        </w:tc>
        <w:tc>
          <w:tcPr>
            <w:tcW w:w="955" w:type="dxa"/>
            <w:tcBorders>
              <w:top w:val="nil"/>
              <w:left w:val="nil"/>
              <w:bottom w:val="single" w:sz="4" w:space="0" w:color="auto"/>
              <w:right w:val="single" w:sz="4" w:space="0" w:color="auto"/>
            </w:tcBorders>
            <w:shd w:val="clear" w:color="000000" w:fill="FFFFFF"/>
            <w:noWrap/>
            <w:vAlign w:val="bottom"/>
            <w:hideMark/>
          </w:tcPr>
          <w:p w14:paraId="0357FC97" w14:textId="77777777" w:rsidR="00CD7CF9" w:rsidRPr="00237521" w:rsidRDefault="00CD7CF9" w:rsidP="00237521">
            <w:pPr>
              <w:keepNext/>
              <w:jc w:val="center"/>
              <w:rPr>
                <w:rFonts w:cs="Calibri"/>
                <w:b/>
                <w:sz w:val="22"/>
                <w:szCs w:val="22"/>
              </w:rPr>
            </w:pPr>
            <w:r w:rsidRPr="00237521">
              <w:rPr>
                <w:rFonts w:cs="Calibri"/>
                <w:b/>
                <w:sz w:val="22"/>
                <w:szCs w:val="22"/>
              </w:rPr>
              <w:t>62</w:t>
            </w:r>
          </w:p>
        </w:tc>
      </w:tr>
    </w:tbl>
    <w:p w14:paraId="2E31231C" w14:textId="77777777" w:rsidR="00CD7CF9" w:rsidRDefault="00CD7CF9" w:rsidP="00237521"/>
    <w:p w14:paraId="6714FCAC" w14:textId="20346568" w:rsidR="003F287A" w:rsidRDefault="003F287A" w:rsidP="00095AB1">
      <w:pPr>
        <w:spacing w:after="120"/>
      </w:pPr>
      <w:r>
        <w:t xml:space="preserve">Table 5.3 shows the effect of TOU on average </w:t>
      </w:r>
      <w:r w:rsidRPr="007E3124">
        <w:rPr>
          <w:i/>
        </w:rPr>
        <w:t>daily</w:t>
      </w:r>
      <w:r>
        <w:t xml:space="preserve"> usage by month. TOU customers </w:t>
      </w:r>
      <w:r w:rsidR="00C85A1D">
        <w:t xml:space="preserve">increased </w:t>
      </w:r>
      <w:r>
        <w:t xml:space="preserve">their energy consumption in each month of the year, </w:t>
      </w:r>
      <w:r w:rsidR="006C673C">
        <w:t xml:space="preserve">with </w:t>
      </w:r>
      <w:r w:rsidR="00C85A1D">
        <w:t>larger increases during the winter months</w:t>
      </w:r>
      <w:r w:rsidR="006C673C" w:rsidRPr="006B730E">
        <w:t>.</w:t>
      </w:r>
      <w:r w:rsidR="00025364">
        <w:rPr>
          <w:rStyle w:val="FootnoteReference"/>
        </w:rPr>
        <w:footnoteReference w:id="16"/>
      </w:r>
      <w:r w:rsidR="006C673C" w:rsidRPr="006B730E">
        <w:t xml:space="preserve"> The overall change was </w:t>
      </w:r>
      <w:r w:rsidRPr="006B730E">
        <w:t xml:space="preserve">an average annual </w:t>
      </w:r>
      <w:r w:rsidR="006B730E">
        <w:rPr>
          <w:i/>
        </w:rPr>
        <w:t>increase</w:t>
      </w:r>
      <w:r w:rsidRPr="006B730E">
        <w:t xml:space="preserve"> </w:t>
      </w:r>
      <w:r w:rsidR="00E94101" w:rsidRPr="006B730E">
        <w:t xml:space="preserve">of </w:t>
      </w:r>
      <w:r w:rsidR="00C85A1D">
        <w:t>2.5</w:t>
      </w:r>
      <w:r w:rsidRPr="006B730E">
        <w:t xml:space="preserve"> percent.</w:t>
      </w:r>
    </w:p>
    <w:p w14:paraId="0B5B5F4F" w14:textId="0BF0AD9B" w:rsidR="003F287A" w:rsidRDefault="003F287A" w:rsidP="00CD7CF9">
      <w:pPr>
        <w:pStyle w:val="TableCaption"/>
        <w:keepNext/>
        <w:keepLines/>
        <w:rPr>
          <w:i/>
        </w:rPr>
      </w:pPr>
      <w:bookmarkStart w:id="85" w:name="_Toc509576796"/>
      <w:r>
        <w:lastRenderedPageBreak/>
        <w:t xml:space="preserve">Table 5.3: TOU Average </w:t>
      </w:r>
      <w:r w:rsidRPr="003F287A">
        <w:rPr>
          <w:i/>
        </w:rPr>
        <w:t>Daily</w:t>
      </w:r>
      <w:r>
        <w:t xml:space="preserve"> Load Impacts</w:t>
      </w:r>
      <w:r w:rsidR="006D4EEC">
        <w:t xml:space="preserve"> for TOU Customers</w:t>
      </w:r>
      <w:r>
        <w:t xml:space="preserve">, </w:t>
      </w:r>
      <w:r w:rsidRPr="00703473">
        <w:rPr>
          <w:i/>
        </w:rPr>
        <w:t>by Month</w:t>
      </w:r>
      <w:bookmarkEnd w:id="85"/>
    </w:p>
    <w:tbl>
      <w:tblPr>
        <w:tblW w:w="9250" w:type="dxa"/>
        <w:jc w:val="center"/>
        <w:tblLook w:val="04A0" w:firstRow="1" w:lastRow="0" w:firstColumn="1" w:lastColumn="0" w:noHBand="0" w:noVBand="1"/>
      </w:tblPr>
      <w:tblGrid>
        <w:gridCol w:w="1222"/>
        <w:gridCol w:w="953"/>
        <w:gridCol w:w="1026"/>
        <w:gridCol w:w="1151"/>
        <w:gridCol w:w="1076"/>
        <w:gridCol w:w="989"/>
        <w:gridCol w:w="989"/>
        <w:gridCol w:w="964"/>
        <w:gridCol w:w="880"/>
      </w:tblGrid>
      <w:tr w:rsidR="007629EE" w:rsidRPr="00CD7CF9" w14:paraId="26CA12B0" w14:textId="77777777" w:rsidTr="0010027E">
        <w:trPr>
          <w:trHeight w:val="20"/>
          <w:jc w:val="center"/>
        </w:trPr>
        <w:tc>
          <w:tcPr>
            <w:tcW w:w="1222" w:type="dxa"/>
            <w:tcBorders>
              <w:top w:val="single" w:sz="4" w:space="0" w:color="auto"/>
              <w:left w:val="single" w:sz="4" w:space="0" w:color="auto"/>
              <w:bottom w:val="nil"/>
              <w:right w:val="single" w:sz="4" w:space="0" w:color="FFFFFF"/>
            </w:tcBorders>
            <w:shd w:val="clear" w:color="auto" w:fill="0C2577"/>
            <w:noWrap/>
            <w:vAlign w:val="bottom"/>
            <w:hideMark/>
          </w:tcPr>
          <w:p w14:paraId="7732A1B5" w14:textId="77777777" w:rsidR="00CD7CF9" w:rsidRPr="00CD7CF9" w:rsidRDefault="00CD7CF9" w:rsidP="00006DAA">
            <w:pPr>
              <w:keepNext/>
              <w:rPr>
                <w:rFonts w:cs="Calibri"/>
                <w:color w:val="FFFFFF"/>
                <w:sz w:val="22"/>
                <w:szCs w:val="22"/>
              </w:rPr>
            </w:pPr>
            <w:r w:rsidRPr="00CD7CF9">
              <w:rPr>
                <w:rFonts w:cs="Calibri"/>
                <w:color w:val="FFFFFF"/>
                <w:sz w:val="22"/>
                <w:szCs w:val="22"/>
              </w:rPr>
              <w:t> </w:t>
            </w:r>
          </w:p>
        </w:tc>
        <w:tc>
          <w:tcPr>
            <w:tcW w:w="953" w:type="dxa"/>
            <w:tcBorders>
              <w:top w:val="single" w:sz="4" w:space="0" w:color="auto"/>
              <w:left w:val="nil"/>
              <w:bottom w:val="nil"/>
              <w:right w:val="single" w:sz="4" w:space="0" w:color="FFFFFF"/>
            </w:tcBorders>
            <w:shd w:val="clear" w:color="auto" w:fill="0C2577"/>
            <w:noWrap/>
            <w:vAlign w:val="bottom"/>
            <w:hideMark/>
          </w:tcPr>
          <w:p w14:paraId="6C728A12" w14:textId="77777777" w:rsidR="00CD7CF9" w:rsidRPr="00CD7CF9" w:rsidRDefault="00CD7CF9" w:rsidP="00006DAA">
            <w:pPr>
              <w:keepNext/>
              <w:rPr>
                <w:rFonts w:cs="Calibri"/>
                <w:color w:val="FFFFFF"/>
                <w:sz w:val="22"/>
                <w:szCs w:val="22"/>
              </w:rPr>
            </w:pPr>
            <w:r w:rsidRPr="00CD7CF9">
              <w:rPr>
                <w:rFonts w:cs="Calibri"/>
                <w:color w:val="FFFFFF"/>
                <w:sz w:val="22"/>
                <w:szCs w:val="22"/>
              </w:rPr>
              <w:t> </w:t>
            </w:r>
          </w:p>
        </w:tc>
        <w:tc>
          <w:tcPr>
            <w:tcW w:w="1026" w:type="dxa"/>
            <w:tcBorders>
              <w:top w:val="single" w:sz="4" w:space="0" w:color="auto"/>
              <w:left w:val="nil"/>
              <w:bottom w:val="nil"/>
              <w:right w:val="single" w:sz="4" w:space="0" w:color="FFFFFF"/>
            </w:tcBorders>
            <w:shd w:val="clear" w:color="auto" w:fill="0C2577"/>
            <w:noWrap/>
            <w:vAlign w:val="bottom"/>
            <w:hideMark/>
          </w:tcPr>
          <w:p w14:paraId="0127D558" w14:textId="77777777" w:rsidR="00CD7CF9" w:rsidRPr="00CD7CF9" w:rsidRDefault="00CD7CF9" w:rsidP="00006DAA">
            <w:pPr>
              <w:keepNext/>
              <w:rPr>
                <w:rFonts w:cs="Calibri"/>
                <w:color w:val="FFFFFF"/>
                <w:sz w:val="22"/>
                <w:szCs w:val="22"/>
              </w:rPr>
            </w:pPr>
            <w:r w:rsidRPr="00CD7CF9">
              <w:rPr>
                <w:rFonts w:cs="Calibri"/>
                <w:color w:val="FFFFFF"/>
                <w:sz w:val="22"/>
                <w:szCs w:val="22"/>
              </w:rPr>
              <w:t> </w:t>
            </w:r>
          </w:p>
        </w:tc>
        <w:tc>
          <w:tcPr>
            <w:tcW w:w="2227" w:type="dxa"/>
            <w:gridSpan w:val="2"/>
            <w:tcBorders>
              <w:top w:val="single" w:sz="4" w:space="0" w:color="auto"/>
              <w:left w:val="nil"/>
              <w:bottom w:val="single" w:sz="4" w:space="0" w:color="FFFFFF"/>
              <w:right w:val="nil"/>
            </w:tcBorders>
            <w:shd w:val="clear" w:color="auto" w:fill="0C2577"/>
            <w:noWrap/>
            <w:vAlign w:val="bottom"/>
            <w:hideMark/>
          </w:tcPr>
          <w:p w14:paraId="70304DBC" w14:textId="77777777" w:rsidR="00CD7CF9" w:rsidRPr="00CD7CF9" w:rsidRDefault="00CD7CF9" w:rsidP="00006DAA">
            <w:pPr>
              <w:keepNext/>
              <w:jc w:val="center"/>
              <w:rPr>
                <w:rFonts w:cs="Calibri"/>
                <w:b/>
                <w:bCs/>
                <w:color w:val="FFFFFF"/>
                <w:sz w:val="22"/>
                <w:szCs w:val="22"/>
              </w:rPr>
            </w:pPr>
            <w:r w:rsidRPr="00CD7CF9">
              <w:rPr>
                <w:rFonts w:cs="Calibri"/>
                <w:b/>
                <w:bCs/>
                <w:color w:val="FFFFFF"/>
                <w:sz w:val="22"/>
                <w:szCs w:val="22"/>
              </w:rPr>
              <w:t>Aggregate</w:t>
            </w:r>
          </w:p>
        </w:tc>
        <w:tc>
          <w:tcPr>
            <w:tcW w:w="1978" w:type="dxa"/>
            <w:gridSpan w:val="2"/>
            <w:tcBorders>
              <w:top w:val="single" w:sz="4" w:space="0" w:color="auto"/>
              <w:left w:val="single" w:sz="4" w:space="0" w:color="FFFFFF"/>
              <w:bottom w:val="single" w:sz="4" w:space="0" w:color="FFFFFF"/>
              <w:right w:val="single" w:sz="4" w:space="0" w:color="FFFFFF"/>
            </w:tcBorders>
            <w:shd w:val="clear" w:color="auto" w:fill="0C2577"/>
            <w:noWrap/>
            <w:vAlign w:val="bottom"/>
            <w:hideMark/>
          </w:tcPr>
          <w:p w14:paraId="08230B0E" w14:textId="77777777" w:rsidR="00CD7CF9" w:rsidRPr="00CD7CF9" w:rsidRDefault="00CD7CF9" w:rsidP="00006DAA">
            <w:pPr>
              <w:keepNext/>
              <w:jc w:val="center"/>
              <w:rPr>
                <w:rFonts w:cs="Calibri"/>
                <w:b/>
                <w:bCs/>
                <w:color w:val="FFFFFF"/>
                <w:sz w:val="22"/>
                <w:szCs w:val="22"/>
              </w:rPr>
            </w:pPr>
            <w:r w:rsidRPr="00CD7CF9">
              <w:rPr>
                <w:rFonts w:cs="Calibri"/>
                <w:b/>
                <w:bCs/>
                <w:color w:val="FFFFFF"/>
                <w:sz w:val="22"/>
                <w:szCs w:val="22"/>
              </w:rPr>
              <w:t>Per-Customer</w:t>
            </w:r>
          </w:p>
        </w:tc>
        <w:tc>
          <w:tcPr>
            <w:tcW w:w="964" w:type="dxa"/>
            <w:tcBorders>
              <w:top w:val="single" w:sz="4" w:space="0" w:color="auto"/>
              <w:left w:val="nil"/>
              <w:bottom w:val="nil"/>
              <w:right w:val="single" w:sz="4" w:space="0" w:color="FFFFFF"/>
            </w:tcBorders>
            <w:shd w:val="clear" w:color="auto" w:fill="0C2577"/>
            <w:noWrap/>
            <w:vAlign w:val="bottom"/>
            <w:hideMark/>
          </w:tcPr>
          <w:p w14:paraId="436BCA5D" w14:textId="77777777" w:rsidR="00CD7CF9" w:rsidRPr="00CD7CF9" w:rsidRDefault="00CD7CF9" w:rsidP="00006DAA">
            <w:pPr>
              <w:keepNext/>
              <w:rPr>
                <w:rFonts w:cs="Calibri"/>
                <w:color w:val="FFFFFF"/>
                <w:sz w:val="22"/>
                <w:szCs w:val="22"/>
              </w:rPr>
            </w:pPr>
            <w:r w:rsidRPr="00CD7CF9">
              <w:rPr>
                <w:rFonts w:cs="Calibri"/>
                <w:color w:val="FFFFFF"/>
                <w:sz w:val="22"/>
                <w:szCs w:val="22"/>
              </w:rPr>
              <w:t> </w:t>
            </w:r>
          </w:p>
        </w:tc>
        <w:tc>
          <w:tcPr>
            <w:tcW w:w="880" w:type="dxa"/>
            <w:tcBorders>
              <w:top w:val="single" w:sz="4" w:space="0" w:color="auto"/>
              <w:left w:val="nil"/>
              <w:bottom w:val="nil"/>
              <w:right w:val="single" w:sz="4" w:space="0" w:color="auto"/>
            </w:tcBorders>
            <w:shd w:val="clear" w:color="auto" w:fill="0C2577"/>
            <w:noWrap/>
            <w:vAlign w:val="bottom"/>
            <w:hideMark/>
          </w:tcPr>
          <w:p w14:paraId="193F270E" w14:textId="77777777" w:rsidR="00CD7CF9" w:rsidRPr="00CD7CF9" w:rsidRDefault="00CD7CF9" w:rsidP="00006DAA">
            <w:pPr>
              <w:keepNext/>
              <w:rPr>
                <w:rFonts w:cs="Calibri"/>
                <w:color w:val="FFFFFF"/>
                <w:sz w:val="22"/>
                <w:szCs w:val="22"/>
              </w:rPr>
            </w:pPr>
            <w:r w:rsidRPr="00CD7CF9">
              <w:rPr>
                <w:rFonts w:cs="Calibri"/>
                <w:color w:val="FFFFFF"/>
                <w:sz w:val="22"/>
                <w:szCs w:val="22"/>
              </w:rPr>
              <w:t> </w:t>
            </w:r>
          </w:p>
        </w:tc>
      </w:tr>
      <w:tr w:rsidR="0031108C" w:rsidRPr="00CD7CF9" w14:paraId="342034E8" w14:textId="77777777" w:rsidTr="0010027E">
        <w:trPr>
          <w:trHeight w:val="20"/>
          <w:jc w:val="center"/>
        </w:trPr>
        <w:tc>
          <w:tcPr>
            <w:tcW w:w="1222" w:type="dxa"/>
            <w:tcBorders>
              <w:top w:val="nil"/>
              <w:left w:val="single" w:sz="4" w:space="0" w:color="auto"/>
              <w:bottom w:val="single" w:sz="4" w:space="0" w:color="auto"/>
              <w:right w:val="single" w:sz="4" w:space="0" w:color="FFFFFF"/>
            </w:tcBorders>
            <w:shd w:val="clear" w:color="auto" w:fill="0C2577"/>
            <w:noWrap/>
            <w:vAlign w:val="bottom"/>
            <w:hideMark/>
          </w:tcPr>
          <w:p w14:paraId="313BB22B" w14:textId="77777777" w:rsidR="00CD7CF9" w:rsidRPr="00CD7CF9" w:rsidRDefault="00CD7CF9" w:rsidP="00006DAA">
            <w:pPr>
              <w:keepNext/>
              <w:jc w:val="center"/>
              <w:rPr>
                <w:rFonts w:cs="Calibri"/>
                <w:b/>
                <w:bCs/>
                <w:color w:val="FFFFFF"/>
                <w:sz w:val="22"/>
                <w:szCs w:val="22"/>
              </w:rPr>
            </w:pPr>
            <w:r w:rsidRPr="00CD7CF9">
              <w:rPr>
                <w:rFonts w:cs="Calibri"/>
                <w:b/>
                <w:bCs/>
                <w:color w:val="FFFFFF"/>
                <w:sz w:val="22"/>
                <w:szCs w:val="22"/>
              </w:rPr>
              <w:t>Month</w:t>
            </w:r>
          </w:p>
        </w:tc>
        <w:tc>
          <w:tcPr>
            <w:tcW w:w="953" w:type="dxa"/>
            <w:tcBorders>
              <w:top w:val="nil"/>
              <w:left w:val="nil"/>
              <w:bottom w:val="single" w:sz="4" w:space="0" w:color="auto"/>
              <w:right w:val="single" w:sz="4" w:space="0" w:color="FFFFFF"/>
            </w:tcBorders>
            <w:shd w:val="clear" w:color="auto" w:fill="0C2577"/>
            <w:vAlign w:val="bottom"/>
            <w:hideMark/>
          </w:tcPr>
          <w:p w14:paraId="5A2EF95B" w14:textId="77777777" w:rsidR="00CD7CF9" w:rsidRPr="00CD7CF9" w:rsidRDefault="00CD7CF9" w:rsidP="00006DAA">
            <w:pPr>
              <w:keepNext/>
              <w:jc w:val="center"/>
              <w:rPr>
                <w:rFonts w:cs="Calibri"/>
                <w:b/>
                <w:bCs/>
                <w:color w:val="FFFFFF"/>
                <w:sz w:val="22"/>
                <w:szCs w:val="22"/>
              </w:rPr>
            </w:pPr>
            <w:r w:rsidRPr="00CD7CF9">
              <w:rPr>
                <w:rFonts w:cs="Calibri"/>
                <w:b/>
                <w:bCs/>
                <w:color w:val="FFFFFF"/>
                <w:sz w:val="22"/>
                <w:szCs w:val="22"/>
              </w:rPr>
              <w:t>Climate Zone</w:t>
            </w:r>
          </w:p>
        </w:tc>
        <w:tc>
          <w:tcPr>
            <w:tcW w:w="1026" w:type="dxa"/>
            <w:tcBorders>
              <w:top w:val="nil"/>
              <w:left w:val="nil"/>
              <w:bottom w:val="single" w:sz="4" w:space="0" w:color="auto"/>
              <w:right w:val="single" w:sz="4" w:space="0" w:color="FFFFFF"/>
            </w:tcBorders>
            <w:shd w:val="clear" w:color="auto" w:fill="0C2577"/>
            <w:vAlign w:val="bottom"/>
            <w:hideMark/>
          </w:tcPr>
          <w:p w14:paraId="5720FAD0" w14:textId="77777777" w:rsidR="00CD7CF9" w:rsidRPr="00CD7CF9" w:rsidRDefault="00CD7CF9" w:rsidP="00006DAA">
            <w:pPr>
              <w:keepNext/>
              <w:jc w:val="center"/>
              <w:rPr>
                <w:rFonts w:cs="Calibri"/>
                <w:b/>
                <w:bCs/>
                <w:color w:val="FFFFFF"/>
                <w:sz w:val="22"/>
                <w:szCs w:val="22"/>
              </w:rPr>
            </w:pPr>
            <w:r w:rsidRPr="00CD7CF9">
              <w:rPr>
                <w:rFonts w:cs="Calibri"/>
                <w:b/>
                <w:bCs/>
                <w:color w:val="FFFFFF"/>
                <w:sz w:val="22"/>
                <w:szCs w:val="22"/>
              </w:rPr>
              <w:t>Enrolled</w:t>
            </w:r>
          </w:p>
        </w:tc>
        <w:tc>
          <w:tcPr>
            <w:tcW w:w="1151" w:type="dxa"/>
            <w:tcBorders>
              <w:top w:val="nil"/>
              <w:left w:val="nil"/>
              <w:bottom w:val="nil"/>
              <w:right w:val="nil"/>
            </w:tcBorders>
            <w:shd w:val="clear" w:color="auto" w:fill="0C2577"/>
            <w:vAlign w:val="bottom"/>
            <w:hideMark/>
          </w:tcPr>
          <w:p w14:paraId="2742E6D7" w14:textId="517363E6" w:rsidR="00CD7CF9" w:rsidRPr="00CD7CF9" w:rsidRDefault="00CD7CF9" w:rsidP="00006DAA">
            <w:pPr>
              <w:keepNext/>
              <w:jc w:val="center"/>
              <w:rPr>
                <w:rFonts w:cs="Calibri"/>
                <w:b/>
                <w:bCs/>
                <w:color w:val="FFFFFF"/>
                <w:sz w:val="22"/>
                <w:szCs w:val="22"/>
              </w:rPr>
            </w:pPr>
            <w:r w:rsidRPr="00CD7CF9">
              <w:rPr>
                <w:rFonts w:cs="Calibri"/>
                <w:b/>
                <w:bCs/>
                <w:color w:val="FFFFFF"/>
                <w:sz w:val="22"/>
                <w:szCs w:val="22"/>
              </w:rPr>
              <w:t>Daily Ref. Load (MWh</w:t>
            </w:r>
            <w:r w:rsidR="007629EE">
              <w:rPr>
                <w:rFonts w:cs="Calibri"/>
                <w:b/>
                <w:bCs/>
                <w:color w:val="FFFFFF"/>
                <w:sz w:val="22"/>
                <w:szCs w:val="22"/>
              </w:rPr>
              <w:t>/h</w:t>
            </w:r>
            <w:r w:rsidRPr="00CD7CF9">
              <w:rPr>
                <w:rFonts w:cs="Calibri"/>
                <w:b/>
                <w:bCs/>
                <w:color w:val="FFFFFF"/>
                <w:sz w:val="22"/>
                <w:szCs w:val="22"/>
              </w:rPr>
              <w:t>)</w:t>
            </w:r>
          </w:p>
        </w:tc>
        <w:tc>
          <w:tcPr>
            <w:tcW w:w="1076" w:type="dxa"/>
            <w:tcBorders>
              <w:top w:val="nil"/>
              <w:left w:val="nil"/>
              <w:bottom w:val="single" w:sz="4" w:space="0" w:color="auto"/>
              <w:right w:val="single" w:sz="4" w:space="0" w:color="FFFFFF"/>
            </w:tcBorders>
            <w:shd w:val="clear" w:color="auto" w:fill="0C2577"/>
            <w:vAlign w:val="bottom"/>
            <w:hideMark/>
          </w:tcPr>
          <w:p w14:paraId="4C9E8173" w14:textId="494F963A" w:rsidR="00CD7CF9" w:rsidRPr="00CD7CF9" w:rsidRDefault="00CD7CF9" w:rsidP="00006DAA">
            <w:pPr>
              <w:keepNext/>
              <w:jc w:val="center"/>
              <w:rPr>
                <w:rFonts w:cs="Calibri"/>
                <w:b/>
                <w:bCs/>
                <w:color w:val="FFFFFF"/>
                <w:sz w:val="22"/>
                <w:szCs w:val="22"/>
              </w:rPr>
            </w:pPr>
            <w:r w:rsidRPr="00CD7CF9">
              <w:rPr>
                <w:rFonts w:cs="Calibri"/>
                <w:b/>
                <w:bCs/>
                <w:color w:val="FFFFFF"/>
                <w:sz w:val="22"/>
                <w:szCs w:val="22"/>
              </w:rPr>
              <w:t>Daily Load Impact (MWh</w:t>
            </w:r>
            <w:r w:rsidR="007629EE">
              <w:rPr>
                <w:rFonts w:cs="Calibri"/>
                <w:b/>
                <w:bCs/>
                <w:color w:val="FFFFFF"/>
                <w:sz w:val="22"/>
                <w:szCs w:val="22"/>
              </w:rPr>
              <w:t>/h</w:t>
            </w:r>
            <w:r w:rsidRPr="00CD7CF9">
              <w:rPr>
                <w:rFonts w:cs="Calibri"/>
                <w:b/>
                <w:bCs/>
                <w:color w:val="FFFFFF"/>
                <w:sz w:val="22"/>
                <w:szCs w:val="22"/>
              </w:rPr>
              <w:t>)</w:t>
            </w:r>
          </w:p>
        </w:tc>
        <w:tc>
          <w:tcPr>
            <w:tcW w:w="989" w:type="dxa"/>
            <w:tcBorders>
              <w:top w:val="nil"/>
              <w:left w:val="nil"/>
              <w:bottom w:val="nil"/>
              <w:right w:val="nil"/>
            </w:tcBorders>
            <w:shd w:val="clear" w:color="auto" w:fill="0C2577"/>
            <w:vAlign w:val="bottom"/>
            <w:hideMark/>
          </w:tcPr>
          <w:p w14:paraId="77D8ED38" w14:textId="7ECCA2BF" w:rsidR="00CD7CF9" w:rsidRPr="00CD7CF9" w:rsidRDefault="00CD7CF9" w:rsidP="00006DAA">
            <w:pPr>
              <w:keepNext/>
              <w:jc w:val="center"/>
              <w:rPr>
                <w:rFonts w:cs="Calibri"/>
                <w:b/>
                <w:bCs/>
                <w:color w:val="FFFFFF"/>
                <w:sz w:val="22"/>
                <w:szCs w:val="22"/>
              </w:rPr>
            </w:pPr>
            <w:r w:rsidRPr="00CD7CF9">
              <w:rPr>
                <w:rFonts w:cs="Calibri"/>
                <w:b/>
                <w:bCs/>
                <w:color w:val="FFFFFF"/>
                <w:sz w:val="22"/>
                <w:szCs w:val="22"/>
              </w:rPr>
              <w:t>Daily Ref. Load (kWh</w:t>
            </w:r>
            <w:r w:rsidR="007629EE">
              <w:rPr>
                <w:rFonts w:cs="Calibri"/>
                <w:b/>
                <w:bCs/>
                <w:color w:val="FFFFFF"/>
                <w:sz w:val="22"/>
                <w:szCs w:val="22"/>
              </w:rPr>
              <w:t>/h</w:t>
            </w:r>
            <w:r w:rsidRPr="00CD7CF9">
              <w:rPr>
                <w:rFonts w:cs="Calibri"/>
                <w:b/>
                <w:bCs/>
                <w:color w:val="FFFFFF"/>
                <w:sz w:val="22"/>
                <w:szCs w:val="22"/>
              </w:rPr>
              <w:t>)</w:t>
            </w:r>
          </w:p>
        </w:tc>
        <w:tc>
          <w:tcPr>
            <w:tcW w:w="989" w:type="dxa"/>
            <w:tcBorders>
              <w:top w:val="nil"/>
              <w:left w:val="nil"/>
              <w:bottom w:val="nil"/>
              <w:right w:val="single" w:sz="4" w:space="0" w:color="FFFFFF"/>
            </w:tcBorders>
            <w:shd w:val="clear" w:color="auto" w:fill="0C2577"/>
            <w:vAlign w:val="bottom"/>
            <w:hideMark/>
          </w:tcPr>
          <w:p w14:paraId="58117261" w14:textId="6255C6D2" w:rsidR="00CD7CF9" w:rsidRPr="00CD7CF9" w:rsidRDefault="00CD7CF9" w:rsidP="00006DAA">
            <w:pPr>
              <w:keepNext/>
              <w:jc w:val="center"/>
              <w:rPr>
                <w:rFonts w:cs="Calibri"/>
                <w:b/>
                <w:bCs/>
                <w:color w:val="FFFFFF"/>
                <w:sz w:val="22"/>
                <w:szCs w:val="22"/>
              </w:rPr>
            </w:pPr>
            <w:r w:rsidRPr="00CD7CF9">
              <w:rPr>
                <w:rFonts w:cs="Calibri"/>
                <w:b/>
                <w:bCs/>
                <w:color w:val="FFFFFF"/>
                <w:sz w:val="22"/>
                <w:szCs w:val="22"/>
              </w:rPr>
              <w:t>Daily Load Impact (kWh</w:t>
            </w:r>
            <w:r w:rsidR="007629EE">
              <w:rPr>
                <w:rFonts w:cs="Calibri"/>
                <w:b/>
                <w:bCs/>
                <w:color w:val="FFFFFF"/>
                <w:sz w:val="22"/>
                <w:szCs w:val="22"/>
              </w:rPr>
              <w:t>/h</w:t>
            </w:r>
            <w:r w:rsidRPr="00CD7CF9">
              <w:rPr>
                <w:rFonts w:cs="Calibri"/>
                <w:b/>
                <w:bCs/>
                <w:color w:val="FFFFFF"/>
                <w:sz w:val="22"/>
                <w:szCs w:val="22"/>
              </w:rPr>
              <w:t>)</w:t>
            </w:r>
          </w:p>
        </w:tc>
        <w:tc>
          <w:tcPr>
            <w:tcW w:w="964" w:type="dxa"/>
            <w:tcBorders>
              <w:top w:val="nil"/>
              <w:left w:val="nil"/>
              <w:bottom w:val="single" w:sz="4" w:space="0" w:color="auto"/>
              <w:right w:val="single" w:sz="4" w:space="0" w:color="FFFFFF"/>
            </w:tcBorders>
            <w:shd w:val="clear" w:color="auto" w:fill="0C2577"/>
            <w:vAlign w:val="bottom"/>
            <w:hideMark/>
          </w:tcPr>
          <w:p w14:paraId="305DE8F4" w14:textId="77777777" w:rsidR="00CD7CF9" w:rsidRPr="00CD7CF9" w:rsidRDefault="00CD7CF9" w:rsidP="00006DAA">
            <w:pPr>
              <w:keepNext/>
              <w:jc w:val="center"/>
              <w:rPr>
                <w:rFonts w:cs="Calibri"/>
                <w:b/>
                <w:bCs/>
                <w:color w:val="FFFFFF"/>
                <w:sz w:val="22"/>
                <w:szCs w:val="22"/>
              </w:rPr>
            </w:pPr>
            <w:r w:rsidRPr="00CD7CF9">
              <w:rPr>
                <w:rFonts w:cs="Calibri"/>
                <w:b/>
                <w:bCs/>
                <w:color w:val="FFFFFF"/>
                <w:sz w:val="22"/>
                <w:szCs w:val="22"/>
              </w:rPr>
              <w:t>% Daily Load Impact</w:t>
            </w:r>
          </w:p>
        </w:tc>
        <w:tc>
          <w:tcPr>
            <w:tcW w:w="880" w:type="dxa"/>
            <w:tcBorders>
              <w:top w:val="nil"/>
              <w:left w:val="nil"/>
              <w:bottom w:val="nil"/>
              <w:right w:val="single" w:sz="4" w:space="0" w:color="auto"/>
            </w:tcBorders>
            <w:shd w:val="clear" w:color="auto" w:fill="0C2577"/>
            <w:vAlign w:val="bottom"/>
            <w:hideMark/>
          </w:tcPr>
          <w:p w14:paraId="1DBE99D5" w14:textId="77777777" w:rsidR="00CD7CF9" w:rsidRPr="00CD7CF9" w:rsidRDefault="00CD7CF9" w:rsidP="00006DAA">
            <w:pPr>
              <w:keepNext/>
              <w:jc w:val="center"/>
              <w:rPr>
                <w:rFonts w:cs="Calibri"/>
                <w:b/>
                <w:bCs/>
                <w:color w:val="FFFFFF"/>
                <w:sz w:val="22"/>
                <w:szCs w:val="22"/>
              </w:rPr>
            </w:pPr>
            <w:r w:rsidRPr="00CD7CF9">
              <w:rPr>
                <w:rFonts w:cs="Calibri"/>
                <w:b/>
                <w:bCs/>
                <w:color w:val="FFFFFF"/>
                <w:sz w:val="22"/>
                <w:szCs w:val="22"/>
              </w:rPr>
              <w:t>Ave. Daily Temp.</w:t>
            </w:r>
          </w:p>
        </w:tc>
      </w:tr>
      <w:tr w:rsidR="0031108C" w:rsidRPr="00CD7CF9" w14:paraId="4AE84EBF" w14:textId="77777777" w:rsidTr="00D73E36">
        <w:trPr>
          <w:trHeight w:val="20"/>
          <w:jc w:val="center"/>
        </w:trPr>
        <w:tc>
          <w:tcPr>
            <w:tcW w:w="1222" w:type="dxa"/>
            <w:tcBorders>
              <w:top w:val="nil"/>
              <w:left w:val="single" w:sz="4" w:space="0" w:color="auto"/>
              <w:bottom w:val="single" w:sz="4" w:space="0" w:color="auto"/>
              <w:right w:val="nil"/>
            </w:tcBorders>
            <w:shd w:val="clear" w:color="000000" w:fill="FFFFFF"/>
            <w:noWrap/>
            <w:vAlign w:val="bottom"/>
            <w:hideMark/>
          </w:tcPr>
          <w:p w14:paraId="529A686B"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Oct-16</w:t>
            </w:r>
          </w:p>
        </w:tc>
        <w:tc>
          <w:tcPr>
            <w:tcW w:w="953" w:type="dxa"/>
            <w:tcBorders>
              <w:top w:val="nil"/>
              <w:left w:val="single" w:sz="4" w:space="0" w:color="auto"/>
              <w:bottom w:val="single" w:sz="4" w:space="0" w:color="auto"/>
              <w:right w:val="single" w:sz="4" w:space="0" w:color="auto"/>
            </w:tcBorders>
            <w:shd w:val="clear" w:color="000000" w:fill="FFFFFF"/>
            <w:noWrap/>
            <w:vAlign w:val="bottom"/>
            <w:hideMark/>
          </w:tcPr>
          <w:p w14:paraId="08A4BD4C" w14:textId="77777777" w:rsidR="00CD7CF9" w:rsidRPr="00CD7CF9" w:rsidRDefault="00CD7CF9" w:rsidP="00006DAA">
            <w:pPr>
              <w:keepNext/>
              <w:jc w:val="center"/>
              <w:rPr>
                <w:rFonts w:cs="Calibri"/>
                <w:sz w:val="22"/>
                <w:szCs w:val="22"/>
              </w:rPr>
            </w:pPr>
            <w:r w:rsidRPr="00CD7CF9">
              <w:rPr>
                <w:rFonts w:cs="Calibri"/>
                <w:sz w:val="22"/>
                <w:szCs w:val="22"/>
              </w:rPr>
              <w:t>All</w:t>
            </w:r>
          </w:p>
        </w:tc>
        <w:tc>
          <w:tcPr>
            <w:tcW w:w="1026" w:type="dxa"/>
            <w:tcBorders>
              <w:top w:val="nil"/>
              <w:left w:val="nil"/>
              <w:bottom w:val="single" w:sz="4" w:space="0" w:color="auto"/>
              <w:right w:val="nil"/>
            </w:tcBorders>
            <w:shd w:val="clear" w:color="000000" w:fill="FFFFFF"/>
            <w:noWrap/>
            <w:vAlign w:val="bottom"/>
            <w:hideMark/>
          </w:tcPr>
          <w:p w14:paraId="32FEB9B8"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653</w:t>
            </w:r>
          </w:p>
        </w:tc>
        <w:tc>
          <w:tcPr>
            <w:tcW w:w="1151" w:type="dxa"/>
            <w:tcBorders>
              <w:top w:val="single" w:sz="4" w:space="0" w:color="auto"/>
              <w:left w:val="single" w:sz="4" w:space="0" w:color="auto"/>
              <w:bottom w:val="single" w:sz="4" w:space="0" w:color="auto"/>
              <w:right w:val="nil"/>
            </w:tcBorders>
            <w:shd w:val="clear" w:color="000000" w:fill="FFFFFF"/>
            <w:noWrap/>
            <w:vAlign w:val="bottom"/>
            <w:hideMark/>
          </w:tcPr>
          <w:p w14:paraId="712788A7"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12.15</w:t>
            </w:r>
          </w:p>
        </w:tc>
        <w:tc>
          <w:tcPr>
            <w:tcW w:w="1076" w:type="dxa"/>
            <w:tcBorders>
              <w:top w:val="nil"/>
              <w:left w:val="nil"/>
              <w:bottom w:val="single" w:sz="4" w:space="0" w:color="auto"/>
              <w:right w:val="single" w:sz="4" w:space="0" w:color="auto"/>
            </w:tcBorders>
            <w:shd w:val="clear" w:color="000000" w:fill="FFFFFF"/>
            <w:noWrap/>
            <w:vAlign w:val="bottom"/>
            <w:hideMark/>
          </w:tcPr>
          <w:p w14:paraId="14B27372"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-0.11</w:t>
            </w:r>
          </w:p>
        </w:tc>
        <w:tc>
          <w:tcPr>
            <w:tcW w:w="989" w:type="dxa"/>
            <w:tcBorders>
              <w:top w:val="single" w:sz="4" w:space="0" w:color="auto"/>
              <w:left w:val="nil"/>
              <w:bottom w:val="single" w:sz="4" w:space="0" w:color="auto"/>
              <w:right w:val="nil"/>
            </w:tcBorders>
            <w:shd w:val="clear" w:color="000000" w:fill="FFFFFF"/>
            <w:noWrap/>
            <w:vAlign w:val="bottom"/>
            <w:hideMark/>
          </w:tcPr>
          <w:p w14:paraId="1D038ACC"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18.60</w:t>
            </w:r>
          </w:p>
        </w:tc>
        <w:tc>
          <w:tcPr>
            <w:tcW w:w="989" w:type="dxa"/>
            <w:tcBorders>
              <w:top w:val="single" w:sz="4" w:space="0" w:color="auto"/>
              <w:left w:val="nil"/>
              <w:bottom w:val="single" w:sz="4" w:space="0" w:color="auto"/>
              <w:right w:val="nil"/>
            </w:tcBorders>
            <w:shd w:val="clear" w:color="000000" w:fill="FFFFFF"/>
            <w:noWrap/>
            <w:vAlign w:val="bottom"/>
            <w:hideMark/>
          </w:tcPr>
          <w:p w14:paraId="2BF0784C"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-0.18</w:t>
            </w:r>
          </w:p>
        </w:tc>
        <w:tc>
          <w:tcPr>
            <w:tcW w:w="964" w:type="dxa"/>
            <w:tcBorders>
              <w:top w:val="nil"/>
              <w:left w:val="single" w:sz="4" w:space="0" w:color="auto"/>
              <w:bottom w:val="single" w:sz="4" w:space="0" w:color="auto"/>
              <w:right w:val="single" w:sz="4" w:space="0" w:color="auto"/>
            </w:tcBorders>
            <w:shd w:val="clear" w:color="000000" w:fill="FFFFFF"/>
            <w:noWrap/>
            <w:vAlign w:val="bottom"/>
            <w:hideMark/>
          </w:tcPr>
          <w:p w14:paraId="4343BA53" w14:textId="77777777" w:rsidR="00CD7CF9" w:rsidRPr="00CD7CF9" w:rsidRDefault="00CD7CF9" w:rsidP="00006DAA">
            <w:pPr>
              <w:keepNext/>
              <w:jc w:val="center"/>
              <w:rPr>
                <w:rFonts w:cs="Calibri"/>
                <w:sz w:val="22"/>
                <w:szCs w:val="22"/>
              </w:rPr>
            </w:pPr>
            <w:r w:rsidRPr="00CD7CF9">
              <w:rPr>
                <w:rFonts w:cs="Calibri"/>
                <w:sz w:val="22"/>
                <w:szCs w:val="22"/>
              </w:rPr>
              <w:t>-0.9%</w:t>
            </w:r>
          </w:p>
        </w:tc>
        <w:tc>
          <w:tcPr>
            <w:tcW w:w="880" w:type="dxa"/>
            <w:tcBorders>
              <w:top w:val="single" w:sz="4" w:space="0" w:color="auto"/>
              <w:left w:val="nil"/>
              <w:bottom w:val="single" w:sz="4" w:space="0" w:color="auto"/>
              <w:right w:val="single" w:sz="4" w:space="0" w:color="auto"/>
            </w:tcBorders>
            <w:shd w:val="clear" w:color="000000" w:fill="FFFFFF"/>
            <w:noWrap/>
            <w:vAlign w:val="bottom"/>
            <w:hideMark/>
          </w:tcPr>
          <w:p w14:paraId="184FDD45" w14:textId="77777777" w:rsidR="00CD7CF9" w:rsidRPr="00CD7CF9" w:rsidRDefault="00CD7CF9" w:rsidP="00006DAA">
            <w:pPr>
              <w:keepNext/>
              <w:jc w:val="center"/>
              <w:rPr>
                <w:rFonts w:cs="Calibri"/>
                <w:sz w:val="22"/>
                <w:szCs w:val="22"/>
              </w:rPr>
            </w:pPr>
            <w:r w:rsidRPr="00CD7CF9">
              <w:rPr>
                <w:rFonts w:cs="Calibri"/>
                <w:sz w:val="22"/>
                <w:szCs w:val="22"/>
              </w:rPr>
              <w:t>67</w:t>
            </w:r>
          </w:p>
        </w:tc>
      </w:tr>
      <w:tr w:rsidR="0031108C" w:rsidRPr="00CD7CF9" w14:paraId="47EF1F53" w14:textId="77777777" w:rsidTr="00D73E36">
        <w:trPr>
          <w:trHeight w:val="20"/>
          <w:jc w:val="center"/>
        </w:trPr>
        <w:tc>
          <w:tcPr>
            <w:tcW w:w="1222" w:type="dxa"/>
            <w:tcBorders>
              <w:top w:val="nil"/>
              <w:left w:val="single" w:sz="4" w:space="0" w:color="auto"/>
              <w:bottom w:val="nil"/>
              <w:right w:val="nil"/>
            </w:tcBorders>
            <w:shd w:val="clear" w:color="000000" w:fill="D9E1F2"/>
            <w:noWrap/>
            <w:vAlign w:val="bottom"/>
            <w:hideMark/>
          </w:tcPr>
          <w:p w14:paraId="4D21D572"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Nov-16</w:t>
            </w:r>
          </w:p>
        </w:tc>
        <w:tc>
          <w:tcPr>
            <w:tcW w:w="953" w:type="dxa"/>
            <w:tcBorders>
              <w:top w:val="nil"/>
              <w:left w:val="single" w:sz="4" w:space="0" w:color="auto"/>
              <w:bottom w:val="nil"/>
              <w:right w:val="single" w:sz="4" w:space="0" w:color="auto"/>
            </w:tcBorders>
            <w:shd w:val="clear" w:color="000000" w:fill="D9E1F2"/>
            <w:noWrap/>
            <w:vAlign w:val="bottom"/>
            <w:hideMark/>
          </w:tcPr>
          <w:p w14:paraId="26064B03" w14:textId="77777777" w:rsidR="00CD7CF9" w:rsidRPr="00CD7CF9" w:rsidRDefault="00CD7CF9" w:rsidP="00006DAA">
            <w:pPr>
              <w:keepNext/>
              <w:jc w:val="center"/>
              <w:rPr>
                <w:rFonts w:cs="Calibri"/>
                <w:sz w:val="22"/>
                <w:szCs w:val="22"/>
              </w:rPr>
            </w:pPr>
            <w:r w:rsidRPr="00CD7CF9">
              <w:rPr>
                <w:rFonts w:cs="Calibri"/>
                <w:sz w:val="22"/>
                <w:szCs w:val="22"/>
              </w:rPr>
              <w:t>All</w:t>
            </w:r>
          </w:p>
        </w:tc>
        <w:tc>
          <w:tcPr>
            <w:tcW w:w="1026" w:type="dxa"/>
            <w:tcBorders>
              <w:top w:val="nil"/>
              <w:left w:val="nil"/>
              <w:bottom w:val="nil"/>
              <w:right w:val="nil"/>
            </w:tcBorders>
            <w:shd w:val="clear" w:color="000000" w:fill="D9E1F2"/>
            <w:noWrap/>
            <w:vAlign w:val="bottom"/>
            <w:hideMark/>
          </w:tcPr>
          <w:p w14:paraId="5A786856"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689</w:t>
            </w:r>
          </w:p>
        </w:tc>
        <w:tc>
          <w:tcPr>
            <w:tcW w:w="1151" w:type="dxa"/>
            <w:tcBorders>
              <w:top w:val="nil"/>
              <w:left w:val="single" w:sz="4" w:space="0" w:color="auto"/>
              <w:bottom w:val="nil"/>
              <w:right w:val="nil"/>
            </w:tcBorders>
            <w:shd w:val="clear" w:color="000000" w:fill="D9E1F2"/>
            <w:noWrap/>
            <w:vAlign w:val="bottom"/>
            <w:hideMark/>
          </w:tcPr>
          <w:p w14:paraId="58479890"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11.90</w:t>
            </w:r>
          </w:p>
        </w:tc>
        <w:tc>
          <w:tcPr>
            <w:tcW w:w="1076" w:type="dxa"/>
            <w:tcBorders>
              <w:top w:val="nil"/>
              <w:left w:val="nil"/>
              <w:bottom w:val="nil"/>
              <w:right w:val="single" w:sz="4" w:space="0" w:color="auto"/>
            </w:tcBorders>
            <w:shd w:val="clear" w:color="000000" w:fill="D9E1F2"/>
            <w:noWrap/>
            <w:vAlign w:val="bottom"/>
            <w:hideMark/>
          </w:tcPr>
          <w:p w14:paraId="4DB4A6AD"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-0.51</w:t>
            </w:r>
          </w:p>
        </w:tc>
        <w:tc>
          <w:tcPr>
            <w:tcW w:w="989" w:type="dxa"/>
            <w:tcBorders>
              <w:top w:val="nil"/>
              <w:left w:val="nil"/>
              <w:bottom w:val="nil"/>
              <w:right w:val="nil"/>
            </w:tcBorders>
            <w:shd w:val="clear" w:color="000000" w:fill="D9E1F2"/>
            <w:noWrap/>
            <w:vAlign w:val="bottom"/>
            <w:hideMark/>
          </w:tcPr>
          <w:p w14:paraId="266B16F0"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17.27</w:t>
            </w:r>
          </w:p>
        </w:tc>
        <w:tc>
          <w:tcPr>
            <w:tcW w:w="989" w:type="dxa"/>
            <w:tcBorders>
              <w:top w:val="nil"/>
              <w:left w:val="nil"/>
              <w:bottom w:val="nil"/>
              <w:right w:val="nil"/>
            </w:tcBorders>
            <w:shd w:val="clear" w:color="000000" w:fill="D9E1F2"/>
            <w:noWrap/>
            <w:vAlign w:val="bottom"/>
            <w:hideMark/>
          </w:tcPr>
          <w:p w14:paraId="755BB1BA"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-0.73</w:t>
            </w:r>
          </w:p>
        </w:tc>
        <w:tc>
          <w:tcPr>
            <w:tcW w:w="964" w:type="dxa"/>
            <w:tcBorders>
              <w:top w:val="nil"/>
              <w:left w:val="single" w:sz="4" w:space="0" w:color="auto"/>
              <w:bottom w:val="nil"/>
              <w:right w:val="single" w:sz="4" w:space="0" w:color="auto"/>
            </w:tcBorders>
            <w:shd w:val="clear" w:color="000000" w:fill="D9E1F2"/>
            <w:noWrap/>
            <w:vAlign w:val="bottom"/>
            <w:hideMark/>
          </w:tcPr>
          <w:p w14:paraId="59BE23C8" w14:textId="77777777" w:rsidR="00CD7CF9" w:rsidRPr="00CD7CF9" w:rsidRDefault="00CD7CF9" w:rsidP="00006DAA">
            <w:pPr>
              <w:keepNext/>
              <w:jc w:val="center"/>
              <w:rPr>
                <w:rFonts w:cs="Calibri"/>
                <w:sz w:val="22"/>
                <w:szCs w:val="22"/>
              </w:rPr>
            </w:pPr>
            <w:r w:rsidRPr="00CD7CF9">
              <w:rPr>
                <w:rFonts w:cs="Calibri"/>
                <w:sz w:val="22"/>
                <w:szCs w:val="22"/>
              </w:rPr>
              <w:t>-4.2%</w:t>
            </w:r>
          </w:p>
        </w:tc>
        <w:tc>
          <w:tcPr>
            <w:tcW w:w="880" w:type="dxa"/>
            <w:tcBorders>
              <w:top w:val="nil"/>
              <w:left w:val="nil"/>
              <w:bottom w:val="nil"/>
              <w:right w:val="single" w:sz="4" w:space="0" w:color="auto"/>
            </w:tcBorders>
            <w:shd w:val="clear" w:color="000000" w:fill="D9E1F2"/>
            <w:noWrap/>
            <w:vAlign w:val="bottom"/>
            <w:hideMark/>
          </w:tcPr>
          <w:p w14:paraId="6E6F8931" w14:textId="77777777" w:rsidR="00CD7CF9" w:rsidRPr="00CD7CF9" w:rsidRDefault="00CD7CF9" w:rsidP="00006DAA">
            <w:pPr>
              <w:keepNext/>
              <w:jc w:val="center"/>
              <w:rPr>
                <w:rFonts w:cs="Calibri"/>
                <w:sz w:val="22"/>
                <w:szCs w:val="22"/>
              </w:rPr>
            </w:pPr>
            <w:r w:rsidRPr="00CD7CF9">
              <w:rPr>
                <w:rFonts w:cs="Calibri"/>
                <w:sz w:val="22"/>
                <w:szCs w:val="22"/>
              </w:rPr>
              <w:t>63</w:t>
            </w:r>
          </w:p>
        </w:tc>
      </w:tr>
      <w:tr w:rsidR="0031108C" w:rsidRPr="00CD7CF9" w14:paraId="4CC58363" w14:textId="77777777" w:rsidTr="00D73E36">
        <w:trPr>
          <w:trHeight w:val="20"/>
          <w:jc w:val="center"/>
        </w:trPr>
        <w:tc>
          <w:tcPr>
            <w:tcW w:w="1222" w:type="dxa"/>
            <w:tcBorders>
              <w:top w:val="nil"/>
              <w:left w:val="single" w:sz="4" w:space="0" w:color="auto"/>
              <w:bottom w:val="nil"/>
              <w:right w:val="nil"/>
            </w:tcBorders>
            <w:shd w:val="clear" w:color="000000" w:fill="D9E1F2"/>
            <w:noWrap/>
            <w:vAlign w:val="bottom"/>
            <w:hideMark/>
          </w:tcPr>
          <w:p w14:paraId="3B919D2D"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Dec-16</w:t>
            </w:r>
          </w:p>
        </w:tc>
        <w:tc>
          <w:tcPr>
            <w:tcW w:w="953" w:type="dxa"/>
            <w:tcBorders>
              <w:top w:val="nil"/>
              <w:left w:val="single" w:sz="4" w:space="0" w:color="auto"/>
              <w:bottom w:val="nil"/>
              <w:right w:val="single" w:sz="4" w:space="0" w:color="auto"/>
            </w:tcBorders>
            <w:shd w:val="clear" w:color="000000" w:fill="D9E1F2"/>
            <w:noWrap/>
            <w:vAlign w:val="bottom"/>
            <w:hideMark/>
          </w:tcPr>
          <w:p w14:paraId="5C47A202" w14:textId="77777777" w:rsidR="00CD7CF9" w:rsidRPr="00CD7CF9" w:rsidRDefault="00CD7CF9" w:rsidP="00006DAA">
            <w:pPr>
              <w:keepNext/>
              <w:jc w:val="center"/>
              <w:rPr>
                <w:rFonts w:cs="Calibri"/>
                <w:sz w:val="22"/>
                <w:szCs w:val="22"/>
              </w:rPr>
            </w:pPr>
            <w:r w:rsidRPr="00CD7CF9">
              <w:rPr>
                <w:rFonts w:cs="Calibri"/>
                <w:sz w:val="22"/>
                <w:szCs w:val="22"/>
              </w:rPr>
              <w:t>All</w:t>
            </w:r>
          </w:p>
        </w:tc>
        <w:tc>
          <w:tcPr>
            <w:tcW w:w="1026" w:type="dxa"/>
            <w:tcBorders>
              <w:top w:val="nil"/>
              <w:left w:val="nil"/>
              <w:bottom w:val="nil"/>
              <w:right w:val="nil"/>
            </w:tcBorders>
            <w:shd w:val="clear" w:color="000000" w:fill="D9E1F2"/>
            <w:noWrap/>
            <w:vAlign w:val="bottom"/>
            <w:hideMark/>
          </w:tcPr>
          <w:p w14:paraId="431F1EB0"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726</w:t>
            </w:r>
          </w:p>
        </w:tc>
        <w:tc>
          <w:tcPr>
            <w:tcW w:w="1151" w:type="dxa"/>
            <w:tcBorders>
              <w:top w:val="nil"/>
              <w:left w:val="single" w:sz="4" w:space="0" w:color="auto"/>
              <w:bottom w:val="nil"/>
              <w:right w:val="nil"/>
            </w:tcBorders>
            <w:shd w:val="clear" w:color="000000" w:fill="D9E1F2"/>
            <w:noWrap/>
            <w:vAlign w:val="bottom"/>
            <w:hideMark/>
          </w:tcPr>
          <w:p w14:paraId="1BE9185C"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14.38</w:t>
            </w:r>
          </w:p>
        </w:tc>
        <w:tc>
          <w:tcPr>
            <w:tcW w:w="1076" w:type="dxa"/>
            <w:tcBorders>
              <w:top w:val="nil"/>
              <w:left w:val="nil"/>
              <w:bottom w:val="nil"/>
              <w:right w:val="single" w:sz="4" w:space="0" w:color="auto"/>
            </w:tcBorders>
            <w:shd w:val="clear" w:color="000000" w:fill="D9E1F2"/>
            <w:noWrap/>
            <w:vAlign w:val="bottom"/>
            <w:hideMark/>
          </w:tcPr>
          <w:p w14:paraId="585853C4"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-0.64</w:t>
            </w:r>
          </w:p>
        </w:tc>
        <w:tc>
          <w:tcPr>
            <w:tcW w:w="989" w:type="dxa"/>
            <w:tcBorders>
              <w:top w:val="nil"/>
              <w:left w:val="nil"/>
              <w:bottom w:val="nil"/>
              <w:right w:val="nil"/>
            </w:tcBorders>
            <w:shd w:val="clear" w:color="000000" w:fill="D9E1F2"/>
            <w:noWrap/>
            <w:vAlign w:val="bottom"/>
            <w:hideMark/>
          </w:tcPr>
          <w:p w14:paraId="4F9277F2"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19.81</w:t>
            </w:r>
          </w:p>
        </w:tc>
        <w:tc>
          <w:tcPr>
            <w:tcW w:w="989" w:type="dxa"/>
            <w:tcBorders>
              <w:top w:val="nil"/>
              <w:left w:val="nil"/>
              <w:bottom w:val="nil"/>
              <w:right w:val="nil"/>
            </w:tcBorders>
            <w:shd w:val="clear" w:color="000000" w:fill="D9E1F2"/>
            <w:noWrap/>
            <w:vAlign w:val="bottom"/>
            <w:hideMark/>
          </w:tcPr>
          <w:p w14:paraId="41104E6A"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-0.89</w:t>
            </w:r>
          </w:p>
        </w:tc>
        <w:tc>
          <w:tcPr>
            <w:tcW w:w="964" w:type="dxa"/>
            <w:tcBorders>
              <w:top w:val="nil"/>
              <w:left w:val="single" w:sz="4" w:space="0" w:color="auto"/>
              <w:bottom w:val="nil"/>
              <w:right w:val="single" w:sz="4" w:space="0" w:color="auto"/>
            </w:tcBorders>
            <w:shd w:val="clear" w:color="000000" w:fill="D9E1F2"/>
            <w:noWrap/>
            <w:vAlign w:val="bottom"/>
            <w:hideMark/>
          </w:tcPr>
          <w:p w14:paraId="299D07A2" w14:textId="77777777" w:rsidR="00CD7CF9" w:rsidRPr="00CD7CF9" w:rsidRDefault="00CD7CF9" w:rsidP="00006DAA">
            <w:pPr>
              <w:keepNext/>
              <w:jc w:val="center"/>
              <w:rPr>
                <w:rFonts w:cs="Calibri"/>
                <w:sz w:val="22"/>
                <w:szCs w:val="22"/>
              </w:rPr>
            </w:pPr>
            <w:r w:rsidRPr="00CD7CF9">
              <w:rPr>
                <w:rFonts w:cs="Calibri"/>
                <w:sz w:val="22"/>
                <w:szCs w:val="22"/>
              </w:rPr>
              <w:t>-4.5%</w:t>
            </w:r>
          </w:p>
        </w:tc>
        <w:tc>
          <w:tcPr>
            <w:tcW w:w="880" w:type="dxa"/>
            <w:tcBorders>
              <w:top w:val="nil"/>
              <w:left w:val="nil"/>
              <w:bottom w:val="nil"/>
              <w:right w:val="single" w:sz="4" w:space="0" w:color="auto"/>
            </w:tcBorders>
            <w:shd w:val="clear" w:color="000000" w:fill="D9E1F2"/>
            <w:noWrap/>
            <w:vAlign w:val="bottom"/>
            <w:hideMark/>
          </w:tcPr>
          <w:p w14:paraId="083AA480" w14:textId="77777777" w:rsidR="00CD7CF9" w:rsidRPr="00CD7CF9" w:rsidRDefault="00CD7CF9" w:rsidP="00006DAA">
            <w:pPr>
              <w:keepNext/>
              <w:jc w:val="center"/>
              <w:rPr>
                <w:rFonts w:cs="Calibri"/>
                <w:sz w:val="22"/>
                <w:szCs w:val="22"/>
              </w:rPr>
            </w:pPr>
            <w:r w:rsidRPr="00CD7CF9">
              <w:rPr>
                <w:rFonts w:cs="Calibri"/>
                <w:sz w:val="22"/>
                <w:szCs w:val="22"/>
              </w:rPr>
              <w:t>57</w:t>
            </w:r>
          </w:p>
        </w:tc>
      </w:tr>
      <w:tr w:rsidR="0031108C" w:rsidRPr="00CD7CF9" w14:paraId="73F43879" w14:textId="77777777" w:rsidTr="00D73E36">
        <w:trPr>
          <w:trHeight w:val="20"/>
          <w:jc w:val="center"/>
        </w:trPr>
        <w:tc>
          <w:tcPr>
            <w:tcW w:w="1222" w:type="dxa"/>
            <w:tcBorders>
              <w:top w:val="nil"/>
              <w:left w:val="single" w:sz="4" w:space="0" w:color="auto"/>
              <w:bottom w:val="nil"/>
              <w:right w:val="nil"/>
            </w:tcBorders>
            <w:shd w:val="clear" w:color="000000" w:fill="D9E1F2"/>
            <w:noWrap/>
            <w:vAlign w:val="bottom"/>
            <w:hideMark/>
          </w:tcPr>
          <w:p w14:paraId="504E5258"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Jan-17</w:t>
            </w:r>
          </w:p>
        </w:tc>
        <w:tc>
          <w:tcPr>
            <w:tcW w:w="953" w:type="dxa"/>
            <w:tcBorders>
              <w:top w:val="nil"/>
              <w:left w:val="single" w:sz="4" w:space="0" w:color="auto"/>
              <w:bottom w:val="nil"/>
              <w:right w:val="single" w:sz="4" w:space="0" w:color="auto"/>
            </w:tcBorders>
            <w:shd w:val="clear" w:color="000000" w:fill="D9E1F2"/>
            <w:noWrap/>
            <w:vAlign w:val="bottom"/>
            <w:hideMark/>
          </w:tcPr>
          <w:p w14:paraId="67B9CA97" w14:textId="77777777" w:rsidR="00CD7CF9" w:rsidRPr="00CD7CF9" w:rsidRDefault="00CD7CF9" w:rsidP="00006DAA">
            <w:pPr>
              <w:keepNext/>
              <w:jc w:val="center"/>
              <w:rPr>
                <w:rFonts w:cs="Calibri"/>
                <w:sz w:val="22"/>
                <w:szCs w:val="22"/>
              </w:rPr>
            </w:pPr>
            <w:r w:rsidRPr="00CD7CF9">
              <w:rPr>
                <w:rFonts w:cs="Calibri"/>
                <w:sz w:val="22"/>
                <w:szCs w:val="22"/>
              </w:rPr>
              <w:t>All</w:t>
            </w:r>
          </w:p>
        </w:tc>
        <w:tc>
          <w:tcPr>
            <w:tcW w:w="1026" w:type="dxa"/>
            <w:tcBorders>
              <w:top w:val="nil"/>
              <w:left w:val="nil"/>
              <w:bottom w:val="nil"/>
              <w:right w:val="nil"/>
            </w:tcBorders>
            <w:shd w:val="clear" w:color="000000" w:fill="D9E1F2"/>
            <w:noWrap/>
            <w:vAlign w:val="bottom"/>
            <w:hideMark/>
          </w:tcPr>
          <w:p w14:paraId="5D9DEDC7"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755</w:t>
            </w:r>
          </w:p>
        </w:tc>
        <w:tc>
          <w:tcPr>
            <w:tcW w:w="1151" w:type="dxa"/>
            <w:tcBorders>
              <w:top w:val="nil"/>
              <w:left w:val="single" w:sz="4" w:space="0" w:color="auto"/>
              <w:bottom w:val="nil"/>
              <w:right w:val="nil"/>
            </w:tcBorders>
            <w:shd w:val="clear" w:color="000000" w:fill="D9E1F2"/>
            <w:noWrap/>
            <w:vAlign w:val="bottom"/>
            <w:hideMark/>
          </w:tcPr>
          <w:p w14:paraId="0EB7CCDA"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14.89</w:t>
            </w:r>
          </w:p>
        </w:tc>
        <w:tc>
          <w:tcPr>
            <w:tcW w:w="1076" w:type="dxa"/>
            <w:tcBorders>
              <w:top w:val="nil"/>
              <w:left w:val="nil"/>
              <w:bottom w:val="nil"/>
              <w:right w:val="single" w:sz="4" w:space="0" w:color="auto"/>
            </w:tcBorders>
            <w:shd w:val="clear" w:color="000000" w:fill="D9E1F2"/>
            <w:noWrap/>
            <w:vAlign w:val="bottom"/>
            <w:hideMark/>
          </w:tcPr>
          <w:p w14:paraId="3C3A8DB4"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-0.64</w:t>
            </w:r>
          </w:p>
        </w:tc>
        <w:tc>
          <w:tcPr>
            <w:tcW w:w="989" w:type="dxa"/>
            <w:tcBorders>
              <w:top w:val="nil"/>
              <w:left w:val="nil"/>
              <w:bottom w:val="nil"/>
              <w:right w:val="nil"/>
            </w:tcBorders>
            <w:shd w:val="clear" w:color="000000" w:fill="D9E1F2"/>
            <w:noWrap/>
            <w:vAlign w:val="bottom"/>
            <w:hideMark/>
          </w:tcPr>
          <w:p w14:paraId="2D5B094F"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19.72</w:t>
            </w:r>
          </w:p>
        </w:tc>
        <w:tc>
          <w:tcPr>
            <w:tcW w:w="989" w:type="dxa"/>
            <w:tcBorders>
              <w:top w:val="nil"/>
              <w:left w:val="nil"/>
              <w:bottom w:val="nil"/>
              <w:right w:val="nil"/>
            </w:tcBorders>
            <w:shd w:val="clear" w:color="000000" w:fill="D9E1F2"/>
            <w:noWrap/>
            <w:vAlign w:val="bottom"/>
            <w:hideMark/>
          </w:tcPr>
          <w:p w14:paraId="1880EA27"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-0.85</w:t>
            </w:r>
          </w:p>
        </w:tc>
        <w:tc>
          <w:tcPr>
            <w:tcW w:w="964" w:type="dxa"/>
            <w:tcBorders>
              <w:top w:val="nil"/>
              <w:left w:val="single" w:sz="4" w:space="0" w:color="auto"/>
              <w:bottom w:val="nil"/>
              <w:right w:val="single" w:sz="4" w:space="0" w:color="auto"/>
            </w:tcBorders>
            <w:shd w:val="clear" w:color="000000" w:fill="D9E1F2"/>
            <w:noWrap/>
            <w:vAlign w:val="bottom"/>
            <w:hideMark/>
          </w:tcPr>
          <w:p w14:paraId="24A39477" w14:textId="77777777" w:rsidR="00CD7CF9" w:rsidRPr="00CD7CF9" w:rsidRDefault="00CD7CF9" w:rsidP="00006DAA">
            <w:pPr>
              <w:keepNext/>
              <w:jc w:val="center"/>
              <w:rPr>
                <w:rFonts w:cs="Calibri"/>
                <w:sz w:val="22"/>
                <w:szCs w:val="22"/>
              </w:rPr>
            </w:pPr>
            <w:r w:rsidRPr="00CD7CF9">
              <w:rPr>
                <w:rFonts w:cs="Calibri"/>
                <w:sz w:val="22"/>
                <w:szCs w:val="22"/>
              </w:rPr>
              <w:t>-4.3%</w:t>
            </w:r>
          </w:p>
        </w:tc>
        <w:tc>
          <w:tcPr>
            <w:tcW w:w="880" w:type="dxa"/>
            <w:tcBorders>
              <w:top w:val="nil"/>
              <w:left w:val="nil"/>
              <w:bottom w:val="nil"/>
              <w:right w:val="single" w:sz="4" w:space="0" w:color="auto"/>
            </w:tcBorders>
            <w:shd w:val="clear" w:color="000000" w:fill="D9E1F2"/>
            <w:noWrap/>
            <w:vAlign w:val="bottom"/>
            <w:hideMark/>
          </w:tcPr>
          <w:p w14:paraId="328358D9" w14:textId="77777777" w:rsidR="00CD7CF9" w:rsidRPr="00CD7CF9" w:rsidRDefault="00CD7CF9" w:rsidP="00006DAA">
            <w:pPr>
              <w:keepNext/>
              <w:jc w:val="center"/>
              <w:rPr>
                <w:rFonts w:cs="Calibri"/>
                <w:sz w:val="22"/>
                <w:szCs w:val="22"/>
              </w:rPr>
            </w:pPr>
            <w:r w:rsidRPr="00CD7CF9">
              <w:rPr>
                <w:rFonts w:cs="Calibri"/>
                <w:sz w:val="22"/>
                <w:szCs w:val="22"/>
              </w:rPr>
              <w:t>54</w:t>
            </w:r>
          </w:p>
        </w:tc>
      </w:tr>
      <w:tr w:rsidR="0031108C" w:rsidRPr="00CD7CF9" w14:paraId="71D790A0" w14:textId="77777777" w:rsidTr="00D73E36">
        <w:trPr>
          <w:trHeight w:val="20"/>
          <w:jc w:val="center"/>
        </w:trPr>
        <w:tc>
          <w:tcPr>
            <w:tcW w:w="1222" w:type="dxa"/>
            <w:tcBorders>
              <w:top w:val="nil"/>
              <w:left w:val="single" w:sz="4" w:space="0" w:color="auto"/>
              <w:bottom w:val="nil"/>
              <w:right w:val="nil"/>
            </w:tcBorders>
            <w:shd w:val="clear" w:color="000000" w:fill="D9E1F2"/>
            <w:noWrap/>
            <w:vAlign w:val="bottom"/>
            <w:hideMark/>
          </w:tcPr>
          <w:p w14:paraId="7B276A45"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Feb-17</w:t>
            </w:r>
          </w:p>
        </w:tc>
        <w:tc>
          <w:tcPr>
            <w:tcW w:w="953" w:type="dxa"/>
            <w:tcBorders>
              <w:top w:val="nil"/>
              <w:left w:val="single" w:sz="4" w:space="0" w:color="auto"/>
              <w:bottom w:val="nil"/>
              <w:right w:val="single" w:sz="4" w:space="0" w:color="auto"/>
            </w:tcBorders>
            <w:shd w:val="clear" w:color="000000" w:fill="D9E1F2"/>
            <w:noWrap/>
            <w:vAlign w:val="bottom"/>
            <w:hideMark/>
          </w:tcPr>
          <w:p w14:paraId="3224E40F" w14:textId="77777777" w:rsidR="00CD7CF9" w:rsidRPr="00CD7CF9" w:rsidRDefault="00CD7CF9" w:rsidP="00006DAA">
            <w:pPr>
              <w:keepNext/>
              <w:jc w:val="center"/>
              <w:rPr>
                <w:rFonts w:cs="Calibri"/>
                <w:sz w:val="22"/>
                <w:szCs w:val="22"/>
              </w:rPr>
            </w:pPr>
            <w:r w:rsidRPr="00CD7CF9">
              <w:rPr>
                <w:rFonts w:cs="Calibri"/>
                <w:sz w:val="22"/>
                <w:szCs w:val="22"/>
              </w:rPr>
              <w:t>All</w:t>
            </w:r>
          </w:p>
        </w:tc>
        <w:tc>
          <w:tcPr>
            <w:tcW w:w="1026" w:type="dxa"/>
            <w:tcBorders>
              <w:top w:val="nil"/>
              <w:left w:val="nil"/>
              <w:bottom w:val="nil"/>
              <w:right w:val="nil"/>
            </w:tcBorders>
            <w:shd w:val="clear" w:color="000000" w:fill="D9E1F2"/>
            <w:noWrap/>
            <w:vAlign w:val="bottom"/>
            <w:hideMark/>
          </w:tcPr>
          <w:p w14:paraId="4C4DEB31"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795</w:t>
            </w:r>
          </w:p>
        </w:tc>
        <w:tc>
          <w:tcPr>
            <w:tcW w:w="1151" w:type="dxa"/>
            <w:tcBorders>
              <w:top w:val="nil"/>
              <w:left w:val="single" w:sz="4" w:space="0" w:color="auto"/>
              <w:bottom w:val="nil"/>
              <w:right w:val="nil"/>
            </w:tcBorders>
            <w:shd w:val="clear" w:color="000000" w:fill="D9E1F2"/>
            <w:noWrap/>
            <w:vAlign w:val="bottom"/>
            <w:hideMark/>
          </w:tcPr>
          <w:p w14:paraId="6444852D"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13.88</w:t>
            </w:r>
          </w:p>
        </w:tc>
        <w:tc>
          <w:tcPr>
            <w:tcW w:w="1076" w:type="dxa"/>
            <w:tcBorders>
              <w:top w:val="nil"/>
              <w:left w:val="nil"/>
              <w:bottom w:val="nil"/>
              <w:right w:val="single" w:sz="4" w:space="0" w:color="auto"/>
            </w:tcBorders>
            <w:shd w:val="clear" w:color="000000" w:fill="D9E1F2"/>
            <w:noWrap/>
            <w:vAlign w:val="bottom"/>
            <w:hideMark/>
          </w:tcPr>
          <w:p w14:paraId="33B5E90A"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-0.62</w:t>
            </w:r>
          </w:p>
        </w:tc>
        <w:tc>
          <w:tcPr>
            <w:tcW w:w="989" w:type="dxa"/>
            <w:tcBorders>
              <w:top w:val="nil"/>
              <w:left w:val="nil"/>
              <w:bottom w:val="nil"/>
              <w:right w:val="nil"/>
            </w:tcBorders>
            <w:shd w:val="clear" w:color="000000" w:fill="D9E1F2"/>
            <w:noWrap/>
            <w:vAlign w:val="bottom"/>
            <w:hideMark/>
          </w:tcPr>
          <w:p w14:paraId="64B9E85E"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17.46</w:t>
            </w:r>
          </w:p>
        </w:tc>
        <w:tc>
          <w:tcPr>
            <w:tcW w:w="989" w:type="dxa"/>
            <w:tcBorders>
              <w:top w:val="nil"/>
              <w:left w:val="nil"/>
              <w:bottom w:val="nil"/>
              <w:right w:val="nil"/>
            </w:tcBorders>
            <w:shd w:val="clear" w:color="000000" w:fill="D9E1F2"/>
            <w:noWrap/>
            <w:vAlign w:val="bottom"/>
            <w:hideMark/>
          </w:tcPr>
          <w:p w14:paraId="4B143FC8"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-0.78</w:t>
            </w:r>
          </w:p>
        </w:tc>
        <w:tc>
          <w:tcPr>
            <w:tcW w:w="964" w:type="dxa"/>
            <w:tcBorders>
              <w:top w:val="nil"/>
              <w:left w:val="single" w:sz="4" w:space="0" w:color="auto"/>
              <w:bottom w:val="nil"/>
              <w:right w:val="single" w:sz="4" w:space="0" w:color="auto"/>
            </w:tcBorders>
            <w:shd w:val="clear" w:color="000000" w:fill="D9E1F2"/>
            <w:noWrap/>
            <w:vAlign w:val="bottom"/>
            <w:hideMark/>
          </w:tcPr>
          <w:p w14:paraId="62DFA921" w14:textId="77777777" w:rsidR="00CD7CF9" w:rsidRPr="00CD7CF9" w:rsidRDefault="00CD7CF9" w:rsidP="00006DAA">
            <w:pPr>
              <w:keepNext/>
              <w:jc w:val="center"/>
              <w:rPr>
                <w:rFonts w:cs="Calibri"/>
                <w:sz w:val="22"/>
                <w:szCs w:val="22"/>
              </w:rPr>
            </w:pPr>
            <w:r w:rsidRPr="00CD7CF9">
              <w:rPr>
                <w:rFonts w:cs="Calibri"/>
                <w:sz w:val="22"/>
                <w:szCs w:val="22"/>
              </w:rPr>
              <w:t>-4.5%</w:t>
            </w:r>
          </w:p>
        </w:tc>
        <w:tc>
          <w:tcPr>
            <w:tcW w:w="880" w:type="dxa"/>
            <w:tcBorders>
              <w:top w:val="nil"/>
              <w:left w:val="nil"/>
              <w:bottom w:val="nil"/>
              <w:right w:val="single" w:sz="4" w:space="0" w:color="auto"/>
            </w:tcBorders>
            <w:shd w:val="clear" w:color="000000" w:fill="D9E1F2"/>
            <w:noWrap/>
            <w:vAlign w:val="bottom"/>
            <w:hideMark/>
          </w:tcPr>
          <w:p w14:paraId="39685026" w14:textId="77777777" w:rsidR="00CD7CF9" w:rsidRPr="00CD7CF9" w:rsidRDefault="00CD7CF9" w:rsidP="00006DAA">
            <w:pPr>
              <w:keepNext/>
              <w:jc w:val="center"/>
              <w:rPr>
                <w:rFonts w:cs="Calibri"/>
                <w:sz w:val="22"/>
                <w:szCs w:val="22"/>
              </w:rPr>
            </w:pPr>
            <w:r w:rsidRPr="00CD7CF9">
              <w:rPr>
                <w:rFonts w:cs="Calibri"/>
                <w:sz w:val="22"/>
                <w:szCs w:val="22"/>
              </w:rPr>
              <w:t>57</w:t>
            </w:r>
          </w:p>
        </w:tc>
      </w:tr>
      <w:tr w:rsidR="0031108C" w:rsidRPr="00CD7CF9" w14:paraId="6FCCF77B" w14:textId="77777777" w:rsidTr="00D73E36">
        <w:trPr>
          <w:trHeight w:val="20"/>
          <w:jc w:val="center"/>
        </w:trPr>
        <w:tc>
          <w:tcPr>
            <w:tcW w:w="1222" w:type="dxa"/>
            <w:tcBorders>
              <w:top w:val="nil"/>
              <w:left w:val="single" w:sz="4" w:space="0" w:color="auto"/>
              <w:bottom w:val="nil"/>
              <w:right w:val="nil"/>
            </w:tcBorders>
            <w:shd w:val="clear" w:color="000000" w:fill="D9E1F2"/>
            <w:noWrap/>
            <w:vAlign w:val="bottom"/>
            <w:hideMark/>
          </w:tcPr>
          <w:p w14:paraId="75D44D9F"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Mar-17</w:t>
            </w:r>
          </w:p>
        </w:tc>
        <w:tc>
          <w:tcPr>
            <w:tcW w:w="953" w:type="dxa"/>
            <w:tcBorders>
              <w:top w:val="nil"/>
              <w:left w:val="single" w:sz="4" w:space="0" w:color="auto"/>
              <w:bottom w:val="nil"/>
              <w:right w:val="single" w:sz="4" w:space="0" w:color="auto"/>
            </w:tcBorders>
            <w:shd w:val="clear" w:color="000000" w:fill="D9E1F2"/>
            <w:noWrap/>
            <w:vAlign w:val="bottom"/>
            <w:hideMark/>
          </w:tcPr>
          <w:p w14:paraId="6CB2C492" w14:textId="77777777" w:rsidR="00CD7CF9" w:rsidRPr="00CD7CF9" w:rsidRDefault="00CD7CF9" w:rsidP="00006DAA">
            <w:pPr>
              <w:keepNext/>
              <w:jc w:val="center"/>
              <w:rPr>
                <w:rFonts w:cs="Calibri"/>
                <w:sz w:val="22"/>
                <w:szCs w:val="22"/>
              </w:rPr>
            </w:pPr>
            <w:r w:rsidRPr="00CD7CF9">
              <w:rPr>
                <w:rFonts w:cs="Calibri"/>
                <w:sz w:val="22"/>
                <w:szCs w:val="22"/>
              </w:rPr>
              <w:t>All</w:t>
            </w:r>
          </w:p>
        </w:tc>
        <w:tc>
          <w:tcPr>
            <w:tcW w:w="1026" w:type="dxa"/>
            <w:tcBorders>
              <w:top w:val="nil"/>
              <w:left w:val="nil"/>
              <w:bottom w:val="nil"/>
              <w:right w:val="nil"/>
            </w:tcBorders>
            <w:shd w:val="clear" w:color="000000" w:fill="D9E1F2"/>
            <w:noWrap/>
            <w:vAlign w:val="bottom"/>
            <w:hideMark/>
          </w:tcPr>
          <w:p w14:paraId="212BFFF7"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860</w:t>
            </w:r>
          </w:p>
        </w:tc>
        <w:tc>
          <w:tcPr>
            <w:tcW w:w="1151" w:type="dxa"/>
            <w:tcBorders>
              <w:top w:val="nil"/>
              <w:left w:val="single" w:sz="4" w:space="0" w:color="auto"/>
              <w:bottom w:val="nil"/>
              <w:right w:val="nil"/>
            </w:tcBorders>
            <w:shd w:val="clear" w:color="000000" w:fill="D9E1F2"/>
            <w:noWrap/>
            <w:vAlign w:val="bottom"/>
            <w:hideMark/>
          </w:tcPr>
          <w:p w14:paraId="30076200"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14.07</w:t>
            </w:r>
          </w:p>
        </w:tc>
        <w:tc>
          <w:tcPr>
            <w:tcW w:w="1076" w:type="dxa"/>
            <w:tcBorders>
              <w:top w:val="nil"/>
              <w:left w:val="nil"/>
              <w:bottom w:val="nil"/>
              <w:right w:val="single" w:sz="4" w:space="0" w:color="auto"/>
            </w:tcBorders>
            <w:shd w:val="clear" w:color="000000" w:fill="D9E1F2"/>
            <w:noWrap/>
            <w:vAlign w:val="bottom"/>
            <w:hideMark/>
          </w:tcPr>
          <w:p w14:paraId="2647677A"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-0.60</w:t>
            </w:r>
          </w:p>
        </w:tc>
        <w:tc>
          <w:tcPr>
            <w:tcW w:w="989" w:type="dxa"/>
            <w:tcBorders>
              <w:top w:val="nil"/>
              <w:left w:val="nil"/>
              <w:bottom w:val="nil"/>
              <w:right w:val="nil"/>
            </w:tcBorders>
            <w:shd w:val="clear" w:color="000000" w:fill="D9E1F2"/>
            <w:noWrap/>
            <w:vAlign w:val="bottom"/>
            <w:hideMark/>
          </w:tcPr>
          <w:p w14:paraId="1C59861E"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16.36</w:t>
            </w:r>
          </w:p>
        </w:tc>
        <w:tc>
          <w:tcPr>
            <w:tcW w:w="989" w:type="dxa"/>
            <w:tcBorders>
              <w:top w:val="nil"/>
              <w:left w:val="nil"/>
              <w:bottom w:val="nil"/>
              <w:right w:val="nil"/>
            </w:tcBorders>
            <w:shd w:val="clear" w:color="000000" w:fill="D9E1F2"/>
            <w:noWrap/>
            <w:vAlign w:val="bottom"/>
            <w:hideMark/>
          </w:tcPr>
          <w:p w14:paraId="317AFBB9"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-0.69</w:t>
            </w:r>
          </w:p>
        </w:tc>
        <w:tc>
          <w:tcPr>
            <w:tcW w:w="964" w:type="dxa"/>
            <w:tcBorders>
              <w:top w:val="nil"/>
              <w:left w:val="single" w:sz="4" w:space="0" w:color="auto"/>
              <w:bottom w:val="nil"/>
              <w:right w:val="single" w:sz="4" w:space="0" w:color="auto"/>
            </w:tcBorders>
            <w:shd w:val="clear" w:color="000000" w:fill="D9E1F2"/>
            <w:noWrap/>
            <w:vAlign w:val="bottom"/>
            <w:hideMark/>
          </w:tcPr>
          <w:p w14:paraId="5617C558" w14:textId="77777777" w:rsidR="00CD7CF9" w:rsidRPr="00CD7CF9" w:rsidRDefault="00CD7CF9" w:rsidP="00006DAA">
            <w:pPr>
              <w:keepNext/>
              <w:jc w:val="center"/>
              <w:rPr>
                <w:rFonts w:cs="Calibri"/>
                <w:sz w:val="22"/>
                <w:szCs w:val="22"/>
              </w:rPr>
            </w:pPr>
            <w:r w:rsidRPr="00CD7CF9">
              <w:rPr>
                <w:rFonts w:cs="Calibri"/>
                <w:sz w:val="22"/>
                <w:szCs w:val="22"/>
              </w:rPr>
              <w:t>-4.2%</w:t>
            </w:r>
          </w:p>
        </w:tc>
        <w:tc>
          <w:tcPr>
            <w:tcW w:w="880" w:type="dxa"/>
            <w:tcBorders>
              <w:top w:val="nil"/>
              <w:left w:val="nil"/>
              <w:bottom w:val="nil"/>
              <w:right w:val="single" w:sz="4" w:space="0" w:color="auto"/>
            </w:tcBorders>
            <w:shd w:val="clear" w:color="000000" w:fill="D9E1F2"/>
            <w:noWrap/>
            <w:vAlign w:val="bottom"/>
            <w:hideMark/>
          </w:tcPr>
          <w:p w14:paraId="68FA9257" w14:textId="77777777" w:rsidR="00CD7CF9" w:rsidRPr="00CD7CF9" w:rsidRDefault="00CD7CF9" w:rsidP="00006DAA">
            <w:pPr>
              <w:keepNext/>
              <w:jc w:val="center"/>
              <w:rPr>
                <w:rFonts w:cs="Calibri"/>
                <w:sz w:val="22"/>
                <w:szCs w:val="22"/>
              </w:rPr>
            </w:pPr>
            <w:r w:rsidRPr="00CD7CF9">
              <w:rPr>
                <w:rFonts w:cs="Calibri"/>
                <w:sz w:val="22"/>
                <w:szCs w:val="22"/>
              </w:rPr>
              <w:t>60</w:t>
            </w:r>
          </w:p>
        </w:tc>
      </w:tr>
      <w:tr w:rsidR="0031108C" w:rsidRPr="00CD7CF9" w14:paraId="3BA47B6B" w14:textId="77777777" w:rsidTr="00D73E36">
        <w:trPr>
          <w:trHeight w:val="20"/>
          <w:jc w:val="center"/>
        </w:trPr>
        <w:tc>
          <w:tcPr>
            <w:tcW w:w="1222" w:type="dxa"/>
            <w:tcBorders>
              <w:top w:val="nil"/>
              <w:left w:val="single" w:sz="4" w:space="0" w:color="auto"/>
              <w:bottom w:val="single" w:sz="4" w:space="0" w:color="auto"/>
              <w:right w:val="nil"/>
            </w:tcBorders>
            <w:shd w:val="clear" w:color="000000" w:fill="D9E1F2"/>
            <w:noWrap/>
            <w:vAlign w:val="bottom"/>
            <w:hideMark/>
          </w:tcPr>
          <w:p w14:paraId="253F2EC2"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Apr-17</w:t>
            </w:r>
          </w:p>
        </w:tc>
        <w:tc>
          <w:tcPr>
            <w:tcW w:w="953" w:type="dxa"/>
            <w:tcBorders>
              <w:top w:val="nil"/>
              <w:left w:val="single" w:sz="4" w:space="0" w:color="auto"/>
              <w:bottom w:val="single" w:sz="4" w:space="0" w:color="auto"/>
              <w:right w:val="single" w:sz="4" w:space="0" w:color="auto"/>
            </w:tcBorders>
            <w:shd w:val="clear" w:color="000000" w:fill="D9E1F2"/>
            <w:noWrap/>
            <w:vAlign w:val="bottom"/>
            <w:hideMark/>
          </w:tcPr>
          <w:p w14:paraId="03F192BC" w14:textId="77777777" w:rsidR="00CD7CF9" w:rsidRPr="00CD7CF9" w:rsidRDefault="00CD7CF9" w:rsidP="00006DAA">
            <w:pPr>
              <w:keepNext/>
              <w:jc w:val="center"/>
              <w:rPr>
                <w:rFonts w:cs="Calibri"/>
                <w:sz w:val="22"/>
                <w:szCs w:val="22"/>
              </w:rPr>
            </w:pPr>
            <w:r w:rsidRPr="00CD7CF9">
              <w:rPr>
                <w:rFonts w:cs="Calibri"/>
                <w:sz w:val="22"/>
                <w:szCs w:val="22"/>
              </w:rPr>
              <w:t>All</w:t>
            </w:r>
          </w:p>
        </w:tc>
        <w:tc>
          <w:tcPr>
            <w:tcW w:w="1026" w:type="dxa"/>
            <w:tcBorders>
              <w:top w:val="nil"/>
              <w:left w:val="nil"/>
              <w:bottom w:val="single" w:sz="4" w:space="0" w:color="auto"/>
              <w:right w:val="nil"/>
            </w:tcBorders>
            <w:shd w:val="clear" w:color="000000" w:fill="D9E1F2"/>
            <w:noWrap/>
            <w:vAlign w:val="bottom"/>
            <w:hideMark/>
          </w:tcPr>
          <w:p w14:paraId="6596E9FF"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897</w:t>
            </w:r>
          </w:p>
        </w:tc>
        <w:tc>
          <w:tcPr>
            <w:tcW w:w="1151" w:type="dxa"/>
            <w:tcBorders>
              <w:top w:val="nil"/>
              <w:left w:val="single" w:sz="4" w:space="0" w:color="auto"/>
              <w:bottom w:val="single" w:sz="4" w:space="0" w:color="auto"/>
              <w:right w:val="nil"/>
            </w:tcBorders>
            <w:shd w:val="clear" w:color="000000" w:fill="D9E1F2"/>
            <w:noWrap/>
            <w:vAlign w:val="bottom"/>
            <w:hideMark/>
          </w:tcPr>
          <w:p w14:paraId="699BC236"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13.68</w:t>
            </w:r>
          </w:p>
        </w:tc>
        <w:tc>
          <w:tcPr>
            <w:tcW w:w="1076" w:type="dxa"/>
            <w:tcBorders>
              <w:top w:val="nil"/>
              <w:left w:val="nil"/>
              <w:bottom w:val="single" w:sz="4" w:space="0" w:color="auto"/>
              <w:right w:val="single" w:sz="4" w:space="0" w:color="auto"/>
            </w:tcBorders>
            <w:shd w:val="clear" w:color="000000" w:fill="D9E1F2"/>
            <w:noWrap/>
            <w:vAlign w:val="bottom"/>
            <w:hideMark/>
          </w:tcPr>
          <w:p w14:paraId="17768502"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-0.57</w:t>
            </w:r>
          </w:p>
        </w:tc>
        <w:tc>
          <w:tcPr>
            <w:tcW w:w="989" w:type="dxa"/>
            <w:tcBorders>
              <w:top w:val="nil"/>
              <w:left w:val="nil"/>
              <w:bottom w:val="single" w:sz="4" w:space="0" w:color="auto"/>
              <w:right w:val="nil"/>
            </w:tcBorders>
            <w:shd w:val="clear" w:color="000000" w:fill="D9E1F2"/>
            <w:noWrap/>
            <w:vAlign w:val="bottom"/>
            <w:hideMark/>
          </w:tcPr>
          <w:p w14:paraId="38D96D14"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15.25</w:t>
            </w:r>
          </w:p>
        </w:tc>
        <w:tc>
          <w:tcPr>
            <w:tcW w:w="989" w:type="dxa"/>
            <w:tcBorders>
              <w:top w:val="nil"/>
              <w:left w:val="nil"/>
              <w:bottom w:val="single" w:sz="4" w:space="0" w:color="auto"/>
              <w:right w:val="nil"/>
            </w:tcBorders>
            <w:shd w:val="clear" w:color="000000" w:fill="D9E1F2"/>
            <w:noWrap/>
            <w:vAlign w:val="bottom"/>
            <w:hideMark/>
          </w:tcPr>
          <w:p w14:paraId="083A5975"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-0.64</w:t>
            </w:r>
          </w:p>
        </w:tc>
        <w:tc>
          <w:tcPr>
            <w:tcW w:w="964" w:type="dxa"/>
            <w:tcBorders>
              <w:top w:val="nil"/>
              <w:left w:val="single" w:sz="4" w:space="0" w:color="auto"/>
              <w:bottom w:val="single" w:sz="4" w:space="0" w:color="auto"/>
              <w:right w:val="single" w:sz="4" w:space="0" w:color="auto"/>
            </w:tcBorders>
            <w:shd w:val="clear" w:color="000000" w:fill="D9E1F2"/>
            <w:noWrap/>
            <w:vAlign w:val="bottom"/>
            <w:hideMark/>
          </w:tcPr>
          <w:p w14:paraId="41869207" w14:textId="77777777" w:rsidR="00CD7CF9" w:rsidRPr="00CD7CF9" w:rsidRDefault="00CD7CF9" w:rsidP="00006DAA">
            <w:pPr>
              <w:keepNext/>
              <w:jc w:val="center"/>
              <w:rPr>
                <w:rFonts w:cs="Calibri"/>
                <w:sz w:val="22"/>
                <w:szCs w:val="22"/>
              </w:rPr>
            </w:pPr>
            <w:r w:rsidRPr="00CD7CF9">
              <w:rPr>
                <w:rFonts w:cs="Calibri"/>
                <w:sz w:val="22"/>
                <w:szCs w:val="22"/>
              </w:rPr>
              <w:t>-4.2%</w:t>
            </w:r>
          </w:p>
        </w:tc>
        <w:tc>
          <w:tcPr>
            <w:tcW w:w="880" w:type="dxa"/>
            <w:tcBorders>
              <w:top w:val="nil"/>
              <w:left w:val="nil"/>
              <w:bottom w:val="single" w:sz="4" w:space="0" w:color="auto"/>
              <w:right w:val="single" w:sz="4" w:space="0" w:color="auto"/>
            </w:tcBorders>
            <w:shd w:val="clear" w:color="000000" w:fill="D9E1F2"/>
            <w:noWrap/>
            <w:vAlign w:val="bottom"/>
            <w:hideMark/>
          </w:tcPr>
          <w:p w14:paraId="629CFD0B" w14:textId="77777777" w:rsidR="00CD7CF9" w:rsidRPr="00CD7CF9" w:rsidRDefault="00CD7CF9" w:rsidP="00006DAA">
            <w:pPr>
              <w:keepNext/>
              <w:jc w:val="center"/>
              <w:rPr>
                <w:rFonts w:cs="Calibri"/>
                <w:sz w:val="22"/>
                <w:szCs w:val="22"/>
              </w:rPr>
            </w:pPr>
            <w:r w:rsidRPr="00CD7CF9">
              <w:rPr>
                <w:rFonts w:cs="Calibri"/>
                <w:sz w:val="22"/>
                <w:szCs w:val="22"/>
              </w:rPr>
              <w:t>63</w:t>
            </w:r>
          </w:p>
        </w:tc>
      </w:tr>
      <w:tr w:rsidR="0031108C" w:rsidRPr="00CD7CF9" w14:paraId="22A554E0" w14:textId="77777777" w:rsidTr="00D73E36">
        <w:trPr>
          <w:trHeight w:val="20"/>
          <w:jc w:val="center"/>
        </w:trPr>
        <w:tc>
          <w:tcPr>
            <w:tcW w:w="1222" w:type="dxa"/>
            <w:tcBorders>
              <w:top w:val="nil"/>
              <w:left w:val="single" w:sz="4" w:space="0" w:color="auto"/>
              <w:bottom w:val="nil"/>
              <w:right w:val="nil"/>
            </w:tcBorders>
            <w:shd w:val="clear" w:color="000000" w:fill="FFFFFF"/>
            <w:noWrap/>
            <w:vAlign w:val="bottom"/>
            <w:hideMark/>
          </w:tcPr>
          <w:p w14:paraId="301F8B58"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May-17</w:t>
            </w:r>
          </w:p>
        </w:tc>
        <w:tc>
          <w:tcPr>
            <w:tcW w:w="953" w:type="dxa"/>
            <w:tcBorders>
              <w:top w:val="nil"/>
              <w:left w:val="single" w:sz="4" w:space="0" w:color="auto"/>
              <w:bottom w:val="nil"/>
              <w:right w:val="single" w:sz="4" w:space="0" w:color="auto"/>
            </w:tcBorders>
            <w:shd w:val="clear" w:color="000000" w:fill="FFFFFF"/>
            <w:noWrap/>
            <w:vAlign w:val="bottom"/>
            <w:hideMark/>
          </w:tcPr>
          <w:p w14:paraId="45316FC8" w14:textId="77777777" w:rsidR="00CD7CF9" w:rsidRPr="00CD7CF9" w:rsidRDefault="00CD7CF9" w:rsidP="00006DAA">
            <w:pPr>
              <w:keepNext/>
              <w:jc w:val="center"/>
              <w:rPr>
                <w:rFonts w:cs="Calibri"/>
                <w:sz w:val="22"/>
                <w:szCs w:val="22"/>
              </w:rPr>
            </w:pPr>
            <w:r w:rsidRPr="00CD7CF9">
              <w:rPr>
                <w:rFonts w:cs="Calibri"/>
                <w:sz w:val="22"/>
                <w:szCs w:val="22"/>
              </w:rPr>
              <w:t>All</w:t>
            </w:r>
          </w:p>
        </w:tc>
        <w:tc>
          <w:tcPr>
            <w:tcW w:w="1026" w:type="dxa"/>
            <w:tcBorders>
              <w:top w:val="nil"/>
              <w:left w:val="nil"/>
              <w:bottom w:val="nil"/>
              <w:right w:val="nil"/>
            </w:tcBorders>
            <w:shd w:val="clear" w:color="000000" w:fill="FFFFFF"/>
            <w:noWrap/>
            <w:vAlign w:val="bottom"/>
            <w:hideMark/>
          </w:tcPr>
          <w:p w14:paraId="149A2A12"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934</w:t>
            </w:r>
          </w:p>
        </w:tc>
        <w:tc>
          <w:tcPr>
            <w:tcW w:w="1151" w:type="dxa"/>
            <w:tcBorders>
              <w:top w:val="nil"/>
              <w:left w:val="single" w:sz="4" w:space="0" w:color="auto"/>
              <w:bottom w:val="nil"/>
              <w:right w:val="nil"/>
            </w:tcBorders>
            <w:shd w:val="clear" w:color="000000" w:fill="FFFFFF"/>
            <w:noWrap/>
            <w:vAlign w:val="bottom"/>
            <w:hideMark/>
          </w:tcPr>
          <w:p w14:paraId="794CA2EB"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14.74</w:t>
            </w:r>
          </w:p>
        </w:tc>
        <w:tc>
          <w:tcPr>
            <w:tcW w:w="1076" w:type="dxa"/>
            <w:tcBorders>
              <w:top w:val="nil"/>
              <w:left w:val="nil"/>
              <w:bottom w:val="nil"/>
              <w:right w:val="single" w:sz="4" w:space="0" w:color="auto"/>
            </w:tcBorders>
            <w:shd w:val="clear" w:color="000000" w:fill="FFFFFF"/>
            <w:noWrap/>
            <w:vAlign w:val="bottom"/>
            <w:hideMark/>
          </w:tcPr>
          <w:p w14:paraId="0C12FBEC"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-0.15</w:t>
            </w:r>
          </w:p>
        </w:tc>
        <w:tc>
          <w:tcPr>
            <w:tcW w:w="989" w:type="dxa"/>
            <w:tcBorders>
              <w:top w:val="nil"/>
              <w:left w:val="nil"/>
              <w:bottom w:val="nil"/>
              <w:right w:val="nil"/>
            </w:tcBorders>
            <w:shd w:val="clear" w:color="000000" w:fill="FFFFFF"/>
            <w:noWrap/>
            <w:vAlign w:val="bottom"/>
            <w:hideMark/>
          </w:tcPr>
          <w:p w14:paraId="4F574B99"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15.78</w:t>
            </w:r>
          </w:p>
        </w:tc>
        <w:tc>
          <w:tcPr>
            <w:tcW w:w="989" w:type="dxa"/>
            <w:tcBorders>
              <w:top w:val="nil"/>
              <w:left w:val="nil"/>
              <w:bottom w:val="nil"/>
              <w:right w:val="nil"/>
            </w:tcBorders>
            <w:shd w:val="clear" w:color="000000" w:fill="FFFFFF"/>
            <w:noWrap/>
            <w:vAlign w:val="bottom"/>
            <w:hideMark/>
          </w:tcPr>
          <w:p w14:paraId="62FC15A1"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-0.16</w:t>
            </w:r>
          </w:p>
        </w:tc>
        <w:tc>
          <w:tcPr>
            <w:tcW w:w="964" w:type="dxa"/>
            <w:tcBorders>
              <w:top w:val="nil"/>
              <w:left w:val="single" w:sz="4" w:space="0" w:color="auto"/>
              <w:bottom w:val="nil"/>
              <w:right w:val="single" w:sz="4" w:space="0" w:color="auto"/>
            </w:tcBorders>
            <w:shd w:val="clear" w:color="000000" w:fill="FFFFFF"/>
            <w:noWrap/>
            <w:vAlign w:val="bottom"/>
            <w:hideMark/>
          </w:tcPr>
          <w:p w14:paraId="7BD6B4A6" w14:textId="77777777" w:rsidR="00CD7CF9" w:rsidRPr="00CD7CF9" w:rsidRDefault="00CD7CF9" w:rsidP="00006DAA">
            <w:pPr>
              <w:keepNext/>
              <w:jc w:val="center"/>
              <w:rPr>
                <w:rFonts w:cs="Calibri"/>
                <w:sz w:val="22"/>
                <w:szCs w:val="22"/>
              </w:rPr>
            </w:pPr>
            <w:r w:rsidRPr="00CD7CF9">
              <w:rPr>
                <w:rFonts w:cs="Calibri"/>
                <w:sz w:val="22"/>
                <w:szCs w:val="22"/>
              </w:rPr>
              <w:t>-1.0%</w:t>
            </w:r>
          </w:p>
        </w:tc>
        <w:tc>
          <w:tcPr>
            <w:tcW w:w="880" w:type="dxa"/>
            <w:tcBorders>
              <w:top w:val="nil"/>
              <w:left w:val="nil"/>
              <w:bottom w:val="nil"/>
              <w:right w:val="single" w:sz="4" w:space="0" w:color="auto"/>
            </w:tcBorders>
            <w:shd w:val="clear" w:color="000000" w:fill="FFFFFF"/>
            <w:noWrap/>
            <w:vAlign w:val="bottom"/>
            <w:hideMark/>
          </w:tcPr>
          <w:p w14:paraId="76DD4B79" w14:textId="77777777" w:rsidR="00CD7CF9" w:rsidRPr="00CD7CF9" w:rsidRDefault="00CD7CF9" w:rsidP="00006DAA">
            <w:pPr>
              <w:keepNext/>
              <w:jc w:val="center"/>
              <w:rPr>
                <w:rFonts w:cs="Calibri"/>
                <w:sz w:val="22"/>
                <w:szCs w:val="22"/>
              </w:rPr>
            </w:pPr>
            <w:r w:rsidRPr="00CD7CF9">
              <w:rPr>
                <w:rFonts w:cs="Calibri"/>
                <w:sz w:val="22"/>
                <w:szCs w:val="22"/>
              </w:rPr>
              <w:t>63</w:t>
            </w:r>
          </w:p>
        </w:tc>
      </w:tr>
      <w:tr w:rsidR="0031108C" w:rsidRPr="00CD7CF9" w14:paraId="1E0BEFD3" w14:textId="77777777" w:rsidTr="00D73E36">
        <w:trPr>
          <w:trHeight w:val="20"/>
          <w:jc w:val="center"/>
        </w:trPr>
        <w:tc>
          <w:tcPr>
            <w:tcW w:w="1222" w:type="dxa"/>
            <w:tcBorders>
              <w:top w:val="nil"/>
              <w:left w:val="single" w:sz="4" w:space="0" w:color="auto"/>
              <w:bottom w:val="nil"/>
              <w:right w:val="nil"/>
            </w:tcBorders>
            <w:shd w:val="clear" w:color="000000" w:fill="FFFFFF"/>
            <w:noWrap/>
            <w:vAlign w:val="bottom"/>
            <w:hideMark/>
          </w:tcPr>
          <w:p w14:paraId="3BB5C8DA"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Jun-17</w:t>
            </w:r>
          </w:p>
        </w:tc>
        <w:tc>
          <w:tcPr>
            <w:tcW w:w="953" w:type="dxa"/>
            <w:tcBorders>
              <w:top w:val="nil"/>
              <w:left w:val="single" w:sz="4" w:space="0" w:color="auto"/>
              <w:bottom w:val="nil"/>
              <w:right w:val="single" w:sz="4" w:space="0" w:color="auto"/>
            </w:tcBorders>
            <w:shd w:val="clear" w:color="000000" w:fill="FFFFFF"/>
            <w:noWrap/>
            <w:vAlign w:val="bottom"/>
            <w:hideMark/>
          </w:tcPr>
          <w:p w14:paraId="47E724DE" w14:textId="77777777" w:rsidR="00CD7CF9" w:rsidRPr="00CD7CF9" w:rsidRDefault="00CD7CF9" w:rsidP="00006DAA">
            <w:pPr>
              <w:keepNext/>
              <w:jc w:val="center"/>
              <w:rPr>
                <w:rFonts w:cs="Calibri"/>
                <w:sz w:val="22"/>
                <w:szCs w:val="22"/>
              </w:rPr>
            </w:pPr>
            <w:r w:rsidRPr="00CD7CF9">
              <w:rPr>
                <w:rFonts w:cs="Calibri"/>
                <w:sz w:val="22"/>
                <w:szCs w:val="22"/>
              </w:rPr>
              <w:t>All</w:t>
            </w:r>
          </w:p>
        </w:tc>
        <w:tc>
          <w:tcPr>
            <w:tcW w:w="1026" w:type="dxa"/>
            <w:tcBorders>
              <w:top w:val="nil"/>
              <w:left w:val="nil"/>
              <w:bottom w:val="nil"/>
              <w:right w:val="nil"/>
            </w:tcBorders>
            <w:shd w:val="clear" w:color="000000" w:fill="FFFFFF"/>
            <w:noWrap/>
            <w:vAlign w:val="bottom"/>
            <w:hideMark/>
          </w:tcPr>
          <w:p w14:paraId="097E320B"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1,002</w:t>
            </w:r>
          </w:p>
        </w:tc>
        <w:tc>
          <w:tcPr>
            <w:tcW w:w="1151" w:type="dxa"/>
            <w:tcBorders>
              <w:top w:val="nil"/>
              <w:left w:val="single" w:sz="4" w:space="0" w:color="auto"/>
              <w:bottom w:val="nil"/>
              <w:right w:val="nil"/>
            </w:tcBorders>
            <w:shd w:val="clear" w:color="000000" w:fill="FFFFFF"/>
            <w:noWrap/>
            <w:vAlign w:val="bottom"/>
            <w:hideMark/>
          </w:tcPr>
          <w:p w14:paraId="495277DC"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18.03</w:t>
            </w:r>
          </w:p>
        </w:tc>
        <w:tc>
          <w:tcPr>
            <w:tcW w:w="1076" w:type="dxa"/>
            <w:tcBorders>
              <w:top w:val="nil"/>
              <w:left w:val="nil"/>
              <w:bottom w:val="nil"/>
              <w:right w:val="single" w:sz="4" w:space="0" w:color="auto"/>
            </w:tcBorders>
            <w:shd w:val="clear" w:color="000000" w:fill="FFFFFF"/>
            <w:noWrap/>
            <w:vAlign w:val="bottom"/>
            <w:hideMark/>
          </w:tcPr>
          <w:p w14:paraId="7BCCFEAC"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-0.11</w:t>
            </w:r>
          </w:p>
        </w:tc>
        <w:tc>
          <w:tcPr>
            <w:tcW w:w="989" w:type="dxa"/>
            <w:tcBorders>
              <w:top w:val="nil"/>
              <w:left w:val="nil"/>
              <w:bottom w:val="nil"/>
              <w:right w:val="nil"/>
            </w:tcBorders>
            <w:shd w:val="clear" w:color="000000" w:fill="FFFFFF"/>
            <w:noWrap/>
            <w:vAlign w:val="bottom"/>
            <w:hideMark/>
          </w:tcPr>
          <w:p w14:paraId="0252FED4"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17.99</w:t>
            </w:r>
          </w:p>
        </w:tc>
        <w:tc>
          <w:tcPr>
            <w:tcW w:w="989" w:type="dxa"/>
            <w:tcBorders>
              <w:top w:val="nil"/>
              <w:left w:val="nil"/>
              <w:bottom w:val="nil"/>
              <w:right w:val="nil"/>
            </w:tcBorders>
            <w:shd w:val="clear" w:color="000000" w:fill="FFFFFF"/>
            <w:noWrap/>
            <w:vAlign w:val="bottom"/>
            <w:hideMark/>
          </w:tcPr>
          <w:p w14:paraId="4506C5AF"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-0.11</w:t>
            </w:r>
          </w:p>
        </w:tc>
        <w:tc>
          <w:tcPr>
            <w:tcW w:w="964" w:type="dxa"/>
            <w:tcBorders>
              <w:top w:val="nil"/>
              <w:left w:val="single" w:sz="4" w:space="0" w:color="auto"/>
              <w:bottom w:val="nil"/>
              <w:right w:val="single" w:sz="4" w:space="0" w:color="auto"/>
            </w:tcBorders>
            <w:shd w:val="clear" w:color="000000" w:fill="FFFFFF"/>
            <w:noWrap/>
            <w:vAlign w:val="bottom"/>
            <w:hideMark/>
          </w:tcPr>
          <w:p w14:paraId="2FDAAD09" w14:textId="77777777" w:rsidR="00CD7CF9" w:rsidRPr="00CD7CF9" w:rsidRDefault="00CD7CF9" w:rsidP="00006DAA">
            <w:pPr>
              <w:keepNext/>
              <w:jc w:val="center"/>
              <w:rPr>
                <w:rFonts w:cs="Calibri"/>
                <w:sz w:val="22"/>
                <w:szCs w:val="22"/>
              </w:rPr>
            </w:pPr>
            <w:r w:rsidRPr="00CD7CF9">
              <w:rPr>
                <w:rFonts w:cs="Calibri"/>
                <w:sz w:val="22"/>
                <w:szCs w:val="22"/>
              </w:rPr>
              <w:t>-0.6%</w:t>
            </w:r>
          </w:p>
        </w:tc>
        <w:tc>
          <w:tcPr>
            <w:tcW w:w="880" w:type="dxa"/>
            <w:tcBorders>
              <w:top w:val="nil"/>
              <w:left w:val="nil"/>
              <w:bottom w:val="nil"/>
              <w:right w:val="single" w:sz="4" w:space="0" w:color="auto"/>
            </w:tcBorders>
            <w:shd w:val="clear" w:color="000000" w:fill="FFFFFF"/>
            <w:noWrap/>
            <w:vAlign w:val="bottom"/>
            <w:hideMark/>
          </w:tcPr>
          <w:p w14:paraId="732CF04F" w14:textId="77777777" w:rsidR="00CD7CF9" w:rsidRPr="00CD7CF9" w:rsidRDefault="00CD7CF9" w:rsidP="00006DAA">
            <w:pPr>
              <w:keepNext/>
              <w:jc w:val="center"/>
              <w:rPr>
                <w:rFonts w:cs="Calibri"/>
                <w:sz w:val="22"/>
                <w:szCs w:val="22"/>
              </w:rPr>
            </w:pPr>
            <w:r w:rsidRPr="00CD7CF9">
              <w:rPr>
                <w:rFonts w:cs="Calibri"/>
                <w:sz w:val="22"/>
                <w:szCs w:val="22"/>
              </w:rPr>
              <w:t>68</w:t>
            </w:r>
          </w:p>
        </w:tc>
      </w:tr>
      <w:tr w:rsidR="0031108C" w:rsidRPr="00CD7CF9" w14:paraId="46F80A31" w14:textId="77777777" w:rsidTr="00D73E36">
        <w:trPr>
          <w:trHeight w:val="20"/>
          <w:jc w:val="center"/>
        </w:trPr>
        <w:tc>
          <w:tcPr>
            <w:tcW w:w="1222" w:type="dxa"/>
            <w:tcBorders>
              <w:top w:val="nil"/>
              <w:left w:val="single" w:sz="4" w:space="0" w:color="auto"/>
              <w:bottom w:val="nil"/>
              <w:right w:val="nil"/>
            </w:tcBorders>
            <w:shd w:val="clear" w:color="000000" w:fill="FFFFFF"/>
            <w:noWrap/>
            <w:vAlign w:val="bottom"/>
            <w:hideMark/>
          </w:tcPr>
          <w:p w14:paraId="4AFC457F"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Jul-17</w:t>
            </w:r>
          </w:p>
        </w:tc>
        <w:tc>
          <w:tcPr>
            <w:tcW w:w="953" w:type="dxa"/>
            <w:tcBorders>
              <w:top w:val="nil"/>
              <w:left w:val="single" w:sz="4" w:space="0" w:color="auto"/>
              <w:bottom w:val="nil"/>
              <w:right w:val="single" w:sz="4" w:space="0" w:color="auto"/>
            </w:tcBorders>
            <w:shd w:val="clear" w:color="000000" w:fill="FFFFFF"/>
            <w:noWrap/>
            <w:vAlign w:val="bottom"/>
            <w:hideMark/>
          </w:tcPr>
          <w:p w14:paraId="4B02FCCA" w14:textId="77777777" w:rsidR="00CD7CF9" w:rsidRPr="00CD7CF9" w:rsidRDefault="00CD7CF9" w:rsidP="00006DAA">
            <w:pPr>
              <w:keepNext/>
              <w:jc w:val="center"/>
              <w:rPr>
                <w:rFonts w:cs="Calibri"/>
                <w:sz w:val="22"/>
                <w:szCs w:val="22"/>
              </w:rPr>
            </w:pPr>
            <w:r w:rsidRPr="00CD7CF9">
              <w:rPr>
                <w:rFonts w:cs="Calibri"/>
                <w:sz w:val="22"/>
                <w:szCs w:val="22"/>
              </w:rPr>
              <w:t>All</w:t>
            </w:r>
          </w:p>
        </w:tc>
        <w:tc>
          <w:tcPr>
            <w:tcW w:w="1026" w:type="dxa"/>
            <w:tcBorders>
              <w:top w:val="nil"/>
              <w:left w:val="nil"/>
              <w:bottom w:val="nil"/>
              <w:right w:val="nil"/>
            </w:tcBorders>
            <w:shd w:val="clear" w:color="000000" w:fill="FFFFFF"/>
            <w:noWrap/>
            <w:vAlign w:val="bottom"/>
            <w:hideMark/>
          </w:tcPr>
          <w:p w14:paraId="4CA8C18D"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1,130</w:t>
            </w:r>
          </w:p>
        </w:tc>
        <w:tc>
          <w:tcPr>
            <w:tcW w:w="1151" w:type="dxa"/>
            <w:tcBorders>
              <w:top w:val="nil"/>
              <w:left w:val="single" w:sz="4" w:space="0" w:color="auto"/>
              <w:bottom w:val="nil"/>
              <w:right w:val="nil"/>
            </w:tcBorders>
            <w:shd w:val="clear" w:color="000000" w:fill="FFFFFF"/>
            <w:noWrap/>
            <w:vAlign w:val="bottom"/>
            <w:hideMark/>
          </w:tcPr>
          <w:p w14:paraId="011614D8"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25.55</w:t>
            </w:r>
          </w:p>
        </w:tc>
        <w:tc>
          <w:tcPr>
            <w:tcW w:w="1076" w:type="dxa"/>
            <w:tcBorders>
              <w:top w:val="nil"/>
              <w:left w:val="nil"/>
              <w:bottom w:val="nil"/>
              <w:right w:val="single" w:sz="4" w:space="0" w:color="auto"/>
            </w:tcBorders>
            <w:shd w:val="clear" w:color="000000" w:fill="FFFFFF"/>
            <w:noWrap/>
            <w:vAlign w:val="bottom"/>
            <w:hideMark/>
          </w:tcPr>
          <w:p w14:paraId="472A550C"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-0.10</w:t>
            </w:r>
          </w:p>
        </w:tc>
        <w:tc>
          <w:tcPr>
            <w:tcW w:w="989" w:type="dxa"/>
            <w:tcBorders>
              <w:top w:val="nil"/>
              <w:left w:val="nil"/>
              <w:bottom w:val="nil"/>
              <w:right w:val="nil"/>
            </w:tcBorders>
            <w:shd w:val="clear" w:color="000000" w:fill="FFFFFF"/>
            <w:noWrap/>
            <w:vAlign w:val="bottom"/>
            <w:hideMark/>
          </w:tcPr>
          <w:p w14:paraId="3E0D7824"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22.61</w:t>
            </w:r>
          </w:p>
        </w:tc>
        <w:tc>
          <w:tcPr>
            <w:tcW w:w="989" w:type="dxa"/>
            <w:tcBorders>
              <w:top w:val="nil"/>
              <w:left w:val="nil"/>
              <w:bottom w:val="nil"/>
              <w:right w:val="nil"/>
            </w:tcBorders>
            <w:shd w:val="clear" w:color="000000" w:fill="FFFFFF"/>
            <w:noWrap/>
            <w:vAlign w:val="bottom"/>
            <w:hideMark/>
          </w:tcPr>
          <w:p w14:paraId="25C6C6A9"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-0.09</w:t>
            </w:r>
          </w:p>
        </w:tc>
        <w:tc>
          <w:tcPr>
            <w:tcW w:w="964" w:type="dxa"/>
            <w:tcBorders>
              <w:top w:val="nil"/>
              <w:left w:val="single" w:sz="4" w:space="0" w:color="auto"/>
              <w:bottom w:val="nil"/>
              <w:right w:val="single" w:sz="4" w:space="0" w:color="auto"/>
            </w:tcBorders>
            <w:shd w:val="clear" w:color="000000" w:fill="FFFFFF"/>
            <w:noWrap/>
            <w:vAlign w:val="bottom"/>
            <w:hideMark/>
          </w:tcPr>
          <w:p w14:paraId="55C0031B" w14:textId="77777777" w:rsidR="00CD7CF9" w:rsidRPr="00CD7CF9" w:rsidRDefault="00CD7CF9" w:rsidP="00006DAA">
            <w:pPr>
              <w:keepNext/>
              <w:jc w:val="center"/>
              <w:rPr>
                <w:rFonts w:cs="Calibri"/>
                <w:sz w:val="22"/>
                <w:szCs w:val="22"/>
              </w:rPr>
            </w:pPr>
            <w:r w:rsidRPr="00CD7CF9">
              <w:rPr>
                <w:rFonts w:cs="Calibri"/>
                <w:sz w:val="22"/>
                <w:szCs w:val="22"/>
              </w:rPr>
              <w:t>-0.4%</w:t>
            </w:r>
          </w:p>
        </w:tc>
        <w:tc>
          <w:tcPr>
            <w:tcW w:w="880" w:type="dxa"/>
            <w:tcBorders>
              <w:top w:val="nil"/>
              <w:left w:val="nil"/>
              <w:bottom w:val="nil"/>
              <w:right w:val="single" w:sz="4" w:space="0" w:color="auto"/>
            </w:tcBorders>
            <w:shd w:val="clear" w:color="000000" w:fill="FFFFFF"/>
            <w:noWrap/>
            <w:vAlign w:val="bottom"/>
            <w:hideMark/>
          </w:tcPr>
          <w:p w14:paraId="4244081D" w14:textId="77777777" w:rsidR="00CD7CF9" w:rsidRPr="00CD7CF9" w:rsidRDefault="00CD7CF9" w:rsidP="00006DAA">
            <w:pPr>
              <w:keepNext/>
              <w:jc w:val="center"/>
              <w:rPr>
                <w:rFonts w:cs="Calibri"/>
                <w:sz w:val="22"/>
                <w:szCs w:val="22"/>
              </w:rPr>
            </w:pPr>
            <w:r w:rsidRPr="00CD7CF9">
              <w:rPr>
                <w:rFonts w:cs="Calibri"/>
                <w:sz w:val="22"/>
                <w:szCs w:val="22"/>
              </w:rPr>
              <w:t>73</w:t>
            </w:r>
          </w:p>
        </w:tc>
      </w:tr>
      <w:tr w:rsidR="0031108C" w:rsidRPr="00CD7CF9" w14:paraId="220428E9" w14:textId="77777777" w:rsidTr="00D73E36">
        <w:trPr>
          <w:trHeight w:val="20"/>
          <w:jc w:val="center"/>
        </w:trPr>
        <w:tc>
          <w:tcPr>
            <w:tcW w:w="1222" w:type="dxa"/>
            <w:tcBorders>
              <w:top w:val="nil"/>
              <w:left w:val="single" w:sz="4" w:space="0" w:color="auto"/>
              <w:bottom w:val="nil"/>
              <w:right w:val="nil"/>
            </w:tcBorders>
            <w:shd w:val="clear" w:color="000000" w:fill="FFFFFF"/>
            <w:noWrap/>
            <w:vAlign w:val="bottom"/>
            <w:hideMark/>
          </w:tcPr>
          <w:p w14:paraId="34ABC27B"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Aug-17</w:t>
            </w:r>
          </w:p>
        </w:tc>
        <w:tc>
          <w:tcPr>
            <w:tcW w:w="953" w:type="dxa"/>
            <w:tcBorders>
              <w:top w:val="nil"/>
              <w:left w:val="single" w:sz="4" w:space="0" w:color="auto"/>
              <w:bottom w:val="nil"/>
              <w:right w:val="single" w:sz="4" w:space="0" w:color="auto"/>
            </w:tcBorders>
            <w:shd w:val="clear" w:color="000000" w:fill="FFFFFF"/>
            <w:noWrap/>
            <w:vAlign w:val="bottom"/>
            <w:hideMark/>
          </w:tcPr>
          <w:p w14:paraId="3C50C9DE" w14:textId="77777777" w:rsidR="00CD7CF9" w:rsidRPr="00CD7CF9" w:rsidRDefault="00CD7CF9" w:rsidP="00006DAA">
            <w:pPr>
              <w:keepNext/>
              <w:jc w:val="center"/>
              <w:rPr>
                <w:rFonts w:cs="Calibri"/>
                <w:sz w:val="22"/>
                <w:szCs w:val="22"/>
              </w:rPr>
            </w:pPr>
            <w:r w:rsidRPr="00CD7CF9">
              <w:rPr>
                <w:rFonts w:cs="Calibri"/>
                <w:sz w:val="22"/>
                <w:szCs w:val="22"/>
              </w:rPr>
              <w:t>All</w:t>
            </w:r>
          </w:p>
        </w:tc>
        <w:tc>
          <w:tcPr>
            <w:tcW w:w="1026" w:type="dxa"/>
            <w:tcBorders>
              <w:top w:val="nil"/>
              <w:left w:val="nil"/>
              <w:bottom w:val="nil"/>
              <w:right w:val="nil"/>
            </w:tcBorders>
            <w:shd w:val="clear" w:color="000000" w:fill="FFFFFF"/>
            <w:noWrap/>
            <w:vAlign w:val="bottom"/>
            <w:hideMark/>
          </w:tcPr>
          <w:p w14:paraId="025D13AF"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1,412</w:t>
            </w:r>
          </w:p>
        </w:tc>
        <w:tc>
          <w:tcPr>
            <w:tcW w:w="1151" w:type="dxa"/>
            <w:tcBorders>
              <w:top w:val="nil"/>
              <w:left w:val="single" w:sz="4" w:space="0" w:color="auto"/>
              <w:bottom w:val="nil"/>
              <w:right w:val="nil"/>
            </w:tcBorders>
            <w:shd w:val="clear" w:color="000000" w:fill="FFFFFF"/>
            <w:noWrap/>
            <w:vAlign w:val="bottom"/>
            <w:hideMark/>
          </w:tcPr>
          <w:p w14:paraId="47C8BF5F"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31.70</w:t>
            </w:r>
          </w:p>
        </w:tc>
        <w:tc>
          <w:tcPr>
            <w:tcW w:w="1076" w:type="dxa"/>
            <w:tcBorders>
              <w:top w:val="nil"/>
              <w:left w:val="nil"/>
              <w:bottom w:val="nil"/>
              <w:right w:val="single" w:sz="4" w:space="0" w:color="auto"/>
            </w:tcBorders>
            <w:shd w:val="clear" w:color="000000" w:fill="FFFFFF"/>
            <w:noWrap/>
            <w:vAlign w:val="bottom"/>
            <w:hideMark/>
          </w:tcPr>
          <w:p w14:paraId="7B626C16"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-0.14</w:t>
            </w:r>
          </w:p>
        </w:tc>
        <w:tc>
          <w:tcPr>
            <w:tcW w:w="989" w:type="dxa"/>
            <w:tcBorders>
              <w:top w:val="nil"/>
              <w:left w:val="nil"/>
              <w:bottom w:val="nil"/>
              <w:right w:val="nil"/>
            </w:tcBorders>
            <w:shd w:val="clear" w:color="000000" w:fill="FFFFFF"/>
            <w:noWrap/>
            <w:vAlign w:val="bottom"/>
            <w:hideMark/>
          </w:tcPr>
          <w:p w14:paraId="09D99144"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22.45</w:t>
            </w:r>
          </w:p>
        </w:tc>
        <w:tc>
          <w:tcPr>
            <w:tcW w:w="989" w:type="dxa"/>
            <w:tcBorders>
              <w:top w:val="nil"/>
              <w:left w:val="nil"/>
              <w:bottom w:val="nil"/>
              <w:right w:val="nil"/>
            </w:tcBorders>
            <w:shd w:val="clear" w:color="000000" w:fill="FFFFFF"/>
            <w:noWrap/>
            <w:vAlign w:val="bottom"/>
            <w:hideMark/>
          </w:tcPr>
          <w:p w14:paraId="7AA6882F"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-0.10</w:t>
            </w:r>
          </w:p>
        </w:tc>
        <w:tc>
          <w:tcPr>
            <w:tcW w:w="964" w:type="dxa"/>
            <w:tcBorders>
              <w:top w:val="nil"/>
              <w:left w:val="single" w:sz="4" w:space="0" w:color="auto"/>
              <w:bottom w:val="nil"/>
              <w:right w:val="single" w:sz="4" w:space="0" w:color="auto"/>
            </w:tcBorders>
            <w:shd w:val="clear" w:color="000000" w:fill="FFFFFF"/>
            <w:noWrap/>
            <w:vAlign w:val="bottom"/>
            <w:hideMark/>
          </w:tcPr>
          <w:p w14:paraId="61C372E6" w14:textId="77777777" w:rsidR="00CD7CF9" w:rsidRPr="00CD7CF9" w:rsidRDefault="00CD7CF9" w:rsidP="00006DAA">
            <w:pPr>
              <w:keepNext/>
              <w:jc w:val="center"/>
              <w:rPr>
                <w:rFonts w:cs="Calibri"/>
                <w:sz w:val="22"/>
                <w:szCs w:val="22"/>
              </w:rPr>
            </w:pPr>
            <w:r w:rsidRPr="00CD7CF9">
              <w:rPr>
                <w:rFonts w:cs="Calibri"/>
                <w:sz w:val="22"/>
                <w:szCs w:val="22"/>
              </w:rPr>
              <w:t>-0.4%</w:t>
            </w:r>
          </w:p>
        </w:tc>
        <w:tc>
          <w:tcPr>
            <w:tcW w:w="880" w:type="dxa"/>
            <w:tcBorders>
              <w:top w:val="nil"/>
              <w:left w:val="nil"/>
              <w:bottom w:val="nil"/>
              <w:right w:val="single" w:sz="4" w:space="0" w:color="auto"/>
            </w:tcBorders>
            <w:shd w:val="clear" w:color="000000" w:fill="FFFFFF"/>
            <w:noWrap/>
            <w:vAlign w:val="bottom"/>
            <w:hideMark/>
          </w:tcPr>
          <w:p w14:paraId="221BDD43" w14:textId="77777777" w:rsidR="00CD7CF9" w:rsidRPr="00CD7CF9" w:rsidRDefault="00CD7CF9" w:rsidP="00006DAA">
            <w:pPr>
              <w:keepNext/>
              <w:jc w:val="center"/>
              <w:rPr>
                <w:rFonts w:cs="Calibri"/>
                <w:sz w:val="22"/>
                <w:szCs w:val="22"/>
              </w:rPr>
            </w:pPr>
            <w:r w:rsidRPr="00CD7CF9">
              <w:rPr>
                <w:rFonts w:cs="Calibri"/>
                <w:sz w:val="22"/>
                <w:szCs w:val="22"/>
              </w:rPr>
              <w:t>73</w:t>
            </w:r>
          </w:p>
        </w:tc>
      </w:tr>
      <w:tr w:rsidR="0031108C" w:rsidRPr="00CD7CF9" w14:paraId="52EA312A" w14:textId="77777777" w:rsidTr="00D73E36">
        <w:trPr>
          <w:trHeight w:val="20"/>
          <w:jc w:val="center"/>
        </w:trPr>
        <w:tc>
          <w:tcPr>
            <w:tcW w:w="1222" w:type="dxa"/>
            <w:tcBorders>
              <w:top w:val="nil"/>
              <w:left w:val="single" w:sz="4" w:space="0" w:color="auto"/>
              <w:bottom w:val="single" w:sz="4" w:space="0" w:color="auto"/>
              <w:right w:val="single" w:sz="4" w:space="0" w:color="auto"/>
            </w:tcBorders>
            <w:shd w:val="clear" w:color="000000" w:fill="FFFFFF"/>
            <w:noWrap/>
            <w:vAlign w:val="bottom"/>
            <w:hideMark/>
          </w:tcPr>
          <w:p w14:paraId="14A236C2"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Sep-17</w:t>
            </w:r>
          </w:p>
        </w:tc>
        <w:tc>
          <w:tcPr>
            <w:tcW w:w="953" w:type="dxa"/>
            <w:tcBorders>
              <w:top w:val="nil"/>
              <w:left w:val="nil"/>
              <w:bottom w:val="single" w:sz="4" w:space="0" w:color="auto"/>
              <w:right w:val="single" w:sz="4" w:space="0" w:color="auto"/>
            </w:tcBorders>
            <w:shd w:val="clear" w:color="000000" w:fill="FFFFFF"/>
            <w:noWrap/>
            <w:vAlign w:val="bottom"/>
            <w:hideMark/>
          </w:tcPr>
          <w:p w14:paraId="2E1B683A" w14:textId="77777777" w:rsidR="00CD7CF9" w:rsidRPr="00CD7CF9" w:rsidRDefault="00CD7CF9" w:rsidP="00006DAA">
            <w:pPr>
              <w:keepNext/>
              <w:jc w:val="center"/>
              <w:rPr>
                <w:rFonts w:cs="Calibri"/>
                <w:sz w:val="22"/>
                <w:szCs w:val="22"/>
              </w:rPr>
            </w:pPr>
            <w:r w:rsidRPr="00CD7CF9">
              <w:rPr>
                <w:rFonts w:cs="Calibri"/>
                <w:sz w:val="22"/>
                <w:szCs w:val="22"/>
              </w:rPr>
              <w:t>All</w:t>
            </w:r>
          </w:p>
        </w:tc>
        <w:tc>
          <w:tcPr>
            <w:tcW w:w="1026" w:type="dxa"/>
            <w:tcBorders>
              <w:top w:val="nil"/>
              <w:left w:val="nil"/>
              <w:bottom w:val="single" w:sz="4" w:space="0" w:color="auto"/>
              <w:right w:val="nil"/>
            </w:tcBorders>
            <w:shd w:val="clear" w:color="000000" w:fill="FFFFFF"/>
            <w:noWrap/>
            <w:vAlign w:val="bottom"/>
            <w:hideMark/>
          </w:tcPr>
          <w:p w14:paraId="6C7A31F0"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1,559</w:t>
            </w:r>
          </w:p>
        </w:tc>
        <w:tc>
          <w:tcPr>
            <w:tcW w:w="1151" w:type="dxa"/>
            <w:tcBorders>
              <w:top w:val="nil"/>
              <w:left w:val="single" w:sz="4" w:space="0" w:color="auto"/>
              <w:bottom w:val="single" w:sz="4" w:space="0" w:color="auto"/>
              <w:right w:val="nil"/>
            </w:tcBorders>
            <w:shd w:val="clear" w:color="000000" w:fill="FFFFFF"/>
            <w:noWrap/>
            <w:vAlign w:val="bottom"/>
            <w:hideMark/>
          </w:tcPr>
          <w:p w14:paraId="26DABF39"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30.69</w:t>
            </w:r>
          </w:p>
        </w:tc>
        <w:tc>
          <w:tcPr>
            <w:tcW w:w="1076" w:type="dxa"/>
            <w:tcBorders>
              <w:top w:val="nil"/>
              <w:left w:val="nil"/>
              <w:bottom w:val="single" w:sz="4" w:space="0" w:color="auto"/>
              <w:right w:val="single" w:sz="4" w:space="0" w:color="auto"/>
            </w:tcBorders>
            <w:shd w:val="clear" w:color="000000" w:fill="FFFFFF"/>
            <w:noWrap/>
            <w:vAlign w:val="bottom"/>
            <w:hideMark/>
          </w:tcPr>
          <w:p w14:paraId="30E6AB13"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-0.17</w:t>
            </w:r>
          </w:p>
        </w:tc>
        <w:tc>
          <w:tcPr>
            <w:tcW w:w="989" w:type="dxa"/>
            <w:tcBorders>
              <w:top w:val="nil"/>
              <w:left w:val="nil"/>
              <w:bottom w:val="single" w:sz="4" w:space="0" w:color="auto"/>
              <w:right w:val="nil"/>
            </w:tcBorders>
            <w:shd w:val="clear" w:color="000000" w:fill="FFFFFF"/>
            <w:noWrap/>
            <w:vAlign w:val="bottom"/>
            <w:hideMark/>
          </w:tcPr>
          <w:p w14:paraId="1C3DC8AD"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19.69</w:t>
            </w:r>
          </w:p>
        </w:tc>
        <w:tc>
          <w:tcPr>
            <w:tcW w:w="989" w:type="dxa"/>
            <w:tcBorders>
              <w:top w:val="nil"/>
              <w:left w:val="nil"/>
              <w:bottom w:val="single" w:sz="4" w:space="0" w:color="auto"/>
              <w:right w:val="nil"/>
            </w:tcBorders>
            <w:shd w:val="clear" w:color="000000" w:fill="FFFFFF"/>
            <w:noWrap/>
            <w:vAlign w:val="bottom"/>
            <w:hideMark/>
          </w:tcPr>
          <w:p w14:paraId="09486759" w14:textId="77777777" w:rsidR="00CD7CF9" w:rsidRPr="00CD7CF9" w:rsidRDefault="00CD7CF9" w:rsidP="00006DAA">
            <w:pPr>
              <w:keepNext/>
              <w:ind w:firstLineChars="100" w:firstLine="220"/>
              <w:jc w:val="right"/>
              <w:rPr>
                <w:rFonts w:cs="Calibri"/>
                <w:sz w:val="22"/>
                <w:szCs w:val="22"/>
              </w:rPr>
            </w:pPr>
            <w:r w:rsidRPr="00CD7CF9">
              <w:rPr>
                <w:rFonts w:cs="Calibri"/>
                <w:sz w:val="22"/>
                <w:szCs w:val="22"/>
              </w:rPr>
              <w:t>-0.11</w:t>
            </w:r>
          </w:p>
        </w:tc>
        <w:tc>
          <w:tcPr>
            <w:tcW w:w="964" w:type="dxa"/>
            <w:tcBorders>
              <w:top w:val="nil"/>
              <w:left w:val="single" w:sz="4" w:space="0" w:color="auto"/>
              <w:bottom w:val="single" w:sz="4" w:space="0" w:color="auto"/>
              <w:right w:val="single" w:sz="4" w:space="0" w:color="auto"/>
            </w:tcBorders>
            <w:shd w:val="clear" w:color="000000" w:fill="FFFFFF"/>
            <w:noWrap/>
            <w:vAlign w:val="bottom"/>
            <w:hideMark/>
          </w:tcPr>
          <w:p w14:paraId="39B17449" w14:textId="77777777" w:rsidR="00CD7CF9" w:rsidRPr="00CD7CF9" w:rsidRDefault="00CD7CF9" w:rsidP="00006DAA">
            <w:pPr>
              <w:keepNext/>
              <w:jc w:val="center"/>
              <w:rPr>
                <w:rFonts w:cs="Calibri"/>
                <w:sz w:val="22"/>
                <w:szCs w:val="22"/>
              </w:rPr>
            </w:pPr>
            <w:r w:rsidRPr="00CD7CF9">
              <w:rPr>
                <w:rFonts w:cs="Calibri"/>
                <w:sz w:val="22"/>
                <w:szCs w:val="22"/>
              </w:rPr>
              <w:t>-0.6%</w:t>
            </w:r>
          </w:p>
        </w:tc>
        <w:tc>
          <w:tcPr>
            <w:tcW w:w="880" w:type="dxa"/>
            <w:tcBorders>
              <w:top w:val="nil"/>
              <w:left w:val="nil"/>
              <w:bottom w:val="single" w:sz="4" w:space="0" w:color="auto"/>
              <w:right w:val="single" w:sz="4" w:space="0" w:color="auto"/>
            </w:tcBorders>
            <w:shd w:val="clear" w:color="000000" w:fill="FFFFFF"/>
            <w:noWrap/>
            <w:vAlign w:val="bottom"/>
            <w:hideMark/>
          </w:tcPr>
          <w:p w14:paraId="67C6DBC6" w14:textId="77777777" w:rsidR="00CD7CF9" w:rsidRPr="00CD7CF9" w:rsidRDefault="00CD7CF9" w:rsidP="00006DAA">
            <w:pPr>
              <w:keepNext/>
              <w:jc w:val="center"/>
              <w:rPr>
                <w:rFonts w:cs="Calibri"/>
                <w:sz w:val="22"/>
                <w:szCs w:val="22"/>
              </w:rPr>
            </w:pPr>
            <w:r w:rsidRPr="00CD7CF9">
              <w:rPr>
                <w:rFonts w:cs="Calibri"/>
                <w:sz w:val="22"/>
                <w:szCs w:val="22"/>
              </w:rPr>
              <w:t>71</w:t>
            </w:r>
          </w:p>
        </w:tc>
      </w:tr>
    </w:tbl>
    <w:p w14:paraId="2B40CBF5" w14:textId="77777777" w:rsidR="00CD7CF9" w:rsidRDefault="00CD7CF9" w:rsidP="00237521"/>
    <w:p w14:paraId="1F6D5D76" w14:textId="1FD7732D" w:rsidR="00237700" w:rsidRDefault="00237700" w:rsidP="00095AB1">
      <w:pPr>
        <w:spacing w:after="120"/>
      </w:pPr>
      <w:r>
        <w:t xml:space="preserve">Figure </w:t>
      </w:r>
      <w:r w:rsidR="003F287A">
        <w:t>5</w:t>
      </w:r>
      <w:r>
        <w:t>.</w:t>
      </w:r>
      <w:r w:rsidR="004D47FD">
        <w:t>3</w:t>
      </w:r>
      <w:r>
        <w:t xml:space="preserve"> shows aggregate hourly observed and estimated reference loads, along with hourly estimated </w:t>
      </w:r>
      <w:r w:rsidR="00D12FD9">
        <w:t xml:space="preserve">TOU </w:t>
      </w:r>
      <w:r>
        <w:t xml:space="preserve">load impacts for the </w:t>
      </w:r>
      <w:r w:rsidR="003F287A">
        <w:t xml:space="preserve">TOU </w:t>
      </w:r>
      <w:r>
        <w:t>customers for the average weekday in August.</w:t>
      </w:r>
      <w:r w:rsidR="00392CD5">
        <w:t xml:space="preserve"> Figure </w:t>
      </w:r>
      <w:r w:rsidR="003F287A">
        <w:t>5</w:t>
      </w:r>
      <w:r w:rsidR="00392CD5">
        <w:t>.</w:t>
      </w:r>
      <w:r w:rsidR="004D47FD">
        <w:t>4</w:t>
      </w:r>
      <w:r w:rsidR="00392CD5">
        <w:t xml:space="preserve"> shows the same information for the average weekday in </w:t>
      </w:r>
      <w:r w:rsidR="00C00FDD">
        <w:t>Jan</w:t>
      </w:r>
      <w:r w:rsidR="00392CD5">
        <w:t>uary.</w:t>
      </w:r>
      <w:r w:rsidR="00A36365">
        <w:t xml:space="preserve"> </w:t>
      </w:r>
      <w:r w:rsidR="006A023A">
        <w:t>The hourly TOU load impact</w:t>
      </w:r>
      <w:r w:rsidR="00F64343">
        <w:t>s</w:t>
      </w:r>
      <w:r w:rsidR="006A023A">
        <w:t xml:space="preserve"> in August illustrate a load shift out of the peak period to the off-peak period, especially during the morning hours. However, comparison of the hourly TOU load impacts between the summer and winter month </w:t>
      </w:r>
      <w:r w:rsidR="00F64343">
        <w:t>indicates</w:t>
      </w:r>
      <w:r w:rsidR="006A023A">
        <w:t xml:space="preserve"> that TOU-DR customers respond similarly during </w:t>
      </w:r>
      <w:r w:rsidR="00F64343">
        <w:t>both</w:t>
      </w:r>
      <w:r w:rsidR="006A023A">
        <w:t xml:space="preserve"> season</w:t>
      </w:r>
      <w:r w:rsidR="00F64343">
        <w:t>s</w:t>
      </w:r>
      <w:r w:rsidR="006A023A">
        <w:t xml:space="preserve">, perhaps indicating customers’ knowledge is fuzzy regarding the change in TOU periods between seasons. </w:t>
      </w:r>
    </w:p>
    <w:p w14:paraId="624AA8AB" w14:textId="4318C5FE" w:rsidR="003F287A" w:rsidRDefault="003F287A" w:rsidP="00095AB1">
      <w:pPr>
        <w:spacing w:after="120"/>
      </w:pPr>
    </w:p>
    <w:p w14:paraId="28706E00" w14:textId="77777777" w:rsidR="003F287A" w:rsidRDefault="003F287A" w:rsidP="00095AB1">
      <w:pPr>
        <w:spacing w:after="120"/>
      </w:pPr>
    </w:p>
    <w:p w14:paraId="63022DA2" w14:textId="41A74B43" w:rsidR="00E13312" w:rsidRDefault="00237700" w:rsidP="00095AB1">
      <w:pPr>
        <w:spacing w:after="120"/>
      </w:pPr>
      <w:r>
        <w:t xml:space="preserve"> </w:t>
      </w:r>
    </w:p>
    <w:p w14:paraId="659D8FDE" w14:textId="3428095D" w:rsidR="00E13312" w:rsidRDefault="009D3344" w:rsidP="00095AB1">
      <w:pPr>
        <w:pStyle w:val="FigureCaption"/>
        <w:keepNext/>
      </w:pPr>
      <w:bookmarkStart w:id="86" w:name="_Toc509576819"/>
      <w:r w:rsidRPr="00F917A2">
        <w:lastRenderedPageBreak/>
        <w:t xml:space="preserve">Figure </w:t>
      </w:r>
      <w:r w:rsidR="000C33F6" w:rsidRPr="00F917A2">
        <w:t>5</w:t>
      </w:r>
      <w:r w:rsidRPr="00F917A2">
        <w:t>.</w:t>
      </w:r>
      <w:r w:rsidR="00563167" w:rsidRPr="00F917A2">
        <w:t>3</w:t>
      </w:r>
      <w:r w:rsidRPr="00F917A2">
        <w:t xml:space="preserve">: </w:t>
      </w:r>
      <w:r w:rsidR="00237700" w:rsidRPr="00F917A2">
        <w:t xml:space="preserve">Aggregate </w:t>
      </w:r>
      <w:r w:rsidRPr="00F917A2">
        <w:t xml:space="preserve">Hourly Loads and </w:t>
      </w:r>
      <w:r w:rsidR="00006DAA">
        <w:t xml:space="preserve">TOU </w:t>
      </w:r>
      <w:r w:rsidRPr="00F917A2">
        <w:t xml:space="preserve">Load Impacts </w:t>
      </w:r>
      <w:r w:rsidR="00AD63A5" w:rsidRPr="00F917A2">
        <w:t>(M</w:t>
      </w:r>
      <w:r w:rsidR="00237700" w:rsidRPr="00F917A2">
        <w:t>W</w:t>
      </w:r>
      <w:r w:rsidR="00285312">
        <w:t>h/h</w:t>
      </w:r>
      <w:r w:rsidR="00237700" w:rsidRPr="00F917A2">
        <w:t xml:space="preserve">) </w:t>
      </w:r>
      <w:r w:rsidRPr="00F917A2">
        <w:t xml:space="preserve">– </w:t>
      </w:r>
      <w:r w:rsidR="00C00FDD" w:rsidRPr="00F917A2">
        <w:t>TOU</w:t>
      </w:r>
      <w:r w:rsidR="006D4EEC" w:rsidRPr="00F917A2" w:rsidDel="006D4EEC">
        <w:t xml:space="preserve"> </w:t>
      </w:r>
      <w:r w:rsidR="00006DAA">
        <w:t>Customers</w:t>
      </w:r>
      <w:r w:rsidR="00237700" w:rsidRPr="00F917A2">
        <w:br/>
        <w:t>(</w:t>
      </w:r>
      <w:r w:rsidR="00F917A2">
        <w:rPr>
          <w:i/>
        </w:rPr>
        <w:t>Average Weekday, August 2017</w:t>
      </w:r>
      <w:r w:rsidR="00237700" w:rsidRPr="00F917A2">
        <w:t>)</w:t>
      </w:r>
      <w:bookmarkEnd w:id="86"/>
    </w:p>
    <w:p w14:paraId="4B8AAF3F" w14:textId="537EBDC0" w:rsidR="00723880" w:rsidRDefault="00FC7702" w:rsidP="00095AB1">
      <w:pPr>
        <w:spacing w:after="120"/>
        <w:jc w:val="center"/>
      </w:pPr>
      <w:r>
        <w:rPr>
          <w:noProof/>
        </w:rPr>
        <w:drawing>
          <wp:inline distT="0" distB="0" distL="0" distR="0" wp14:anchorId="28406AF8" wp14:editId="404257EA">
            <wp:extent cx="5041900" cy="3200400"/>
            <wp:effectExtent l="0" t="0" r="635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041900" cy="3200400"/>
                    </a:xfrm>
                    <a:prstGeom prst="rect">
                      <a:avLst/>
                    </a:prstGeom>
                    <a:noFill/>
                  </pic:spPr>
                </pic:pic>
              </a:graphicData>
            </a:graphic>
          </wp:inline>
        </w:drawing>
      </w:r>
    </w:p>
    <w:p w14:paraId="2FE29165" w14:textId="412FC51A" w:rsidR="00392CD5" w:rsidRDefault="00392CD5" w:rsidP="00095AB1">
      <w:pPr>
        <w:spacing w:after="120"/>
      </w:pPr>
    </w:p>
    <w:p w14:paraId="21F0A077" w14:textId="760E9CB6" w:rsidR="00392CD5" w:rsidRDefault="00392CD5" w:rsidP="00095AB1">
      <w:pPr>
        <w:pStyle w:val="FigureCaption"/>
        <w:keepNext/>
      </w:pPr>
      <w:bookmarkStart w:id="87" w:name="_Toc509576820"/>
      <w:r w:rsidRPr="00F917A2">
        <w:t xml:space="preserve">Figure </w:t>
      </w:r>
      <w:r w:rsidR="00CE6C9D" w:rsidRPr="00F917A2">
        <w:t>5</w:t>
      </w:r>
      <w:r w:rsidR="00563167" w:rsidRPr="00F917A2">
        <w:t>.4</w:t>
      </w:r>
      <w:r w:rsidRPr="00F917A2">
        <w:t>: Aggregate Hourly Loads and</w:t>
      </w:r>
      <w:r w:rsidR="00006DAA">
        <w:t xml:space="preserve"> TOU</w:t>
      </w:r>
      <w:r w:rsidRPr="00F917A2">
        <w:t xml:space="preserve"> Load Impacts (</w:t>
      </w:r>
      <w:r w:rsidR="00AD63A5" w:rsidRPr="00F917A2">
        <w:t>M</w:t>
      </w:r>
      <w:r w:rsidRPr="00F917A2">
        <w:t>W</w:t>
      </w:r>
      <w:r w:rsidR="00285312">
        <w:t>h/h</w:t>
      </w:r>
      <w:r w:rsidRPr="00F917A2">
        <w:t xml:space="preserve">) – </w:t>
      </w:r>
      <w:r w:rsidR="00C00FDD" w:rsidRPr="00F917A2">
        <w:t>TOU</w:t>
      </w:r>
      <w:r w:rsidR="006D4EEC" w:rsidRPr="00F917A2" w:rsidDel="006D4EEC">
        <w:t xml:space="preserve"> </w:t>
      </w:r>
      <w:r w:rsidR="00006DAA">
        <w:t>Customers</w:t>
      </w:r>
      <w:r w:rsidRPr="00F917A2">
        <w:br/>
        <w:t>(</w:t>
      </w:r>
      <w:r w:rsidRPr="00F917A2">
        <w:rPr>
          <w:i/>
        </w:rPr>
        <w:t xml:space="preserve">Average Weekday, </w:t>
      </w:r>
      <w:r w:rsidR="00C00FDD" w:rsidRPr="00F917A2">
        <w:rPr>
          <w:i/>
        </w:rPr>
        <w:t>Jan</w:t>
      </w:r>
      <w:r w:rsidRPr="00F917A2">
        <w:rPr>
          <w:i/>
        </w:rPr>
        <w:t>uary 201</w:t>
      </w:r>
      <w:r w:rsidR="00F917A2" w:rsidRPr="00F917A2">
        <w:rPr>
          <w:i/>
        </w:rPr>
        <w:t>7</w:t>
      </w:r>
      <w:r w:rsidRPr="00F917A2">
        <w:t>)</w:t>
      </w:r>
      <w:bookmarkEnd w:id="87"/>
    </w:p>
    <w:p w14:paraId="72619D8C" w14:textId="617BB3E2" w:rsidR="00723880" w:rsidRDefault="002723B2" w:rsidP="00095AB1">
      <w:pPr>
        <w:spacing w:after="120"/>
        <w:jc w:val="center"/>
      </w:pPr>
      <w:r>
        <w:rPr>
          <w:noProof/>
        </w:rPr>
        <w:drawing>
          <wp:inline distT="0" distB="0" distL="0" distR="0" wp14:anchorId="384951C8" wp14:editId="08633883">
            <wp:extent cx="5041900" cy="3194685"/>
            <wp:effectExtent l="0" t="0" r="6350" b="5715"/>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041900" cy="3194685"/>
                    </a:xfrm>
                    <a:prstGeom prst="rect">
                      <a:avLst/>
                    </a:prstGeom>
                    <a:noFill/>
                  </pic:spPr>
                </pic:pic>
              </a:graphicData>
            </a:graphic>
          </wp:inline>
        </w:drawing>
      </w:r>
    </w:p>
    <w:p w14:paraId="35989D54" w14:textId="55C84F7B" w:rsidR="00CE6C9D" w:rsidRDefault="00CE6C9D" w:rsidP="00095AB1">
      <w:pPr>
        <w:spacing w:after="120"/>
        <w:jc w:val="center"/>
      </w:pPr>
    </w:p>
    <w:p w14:paraId="09C74C90" w14:textId="5491267E" w:rsidR="00563167" w:rsidRPr="00CD354B" w:rsidRDefault="00563167" w:rsidP="00095AB1">
      <w:pPr>
        <w:pStyle w:val="Heading2"/>
        <w:spacing w:after="120"/>
      </w:pPr>
      <w:bookmarkStart w:id="88" w:name="_Toc509576762"/>
      <w:r>
        <w:lastRenderedPageBreak/>
        <w:t xml:space="preserve">5.3 </w:t>
      </w:r>
      <w:r w:rsidR="00CA562C">
        <w:t>TOU c</w:t>
      </w:r>
      <w:r>
        <w:t xml:space="preserve">ontrol group matching results </w:t>
      </w:r>
      <w:r w:rsidR="00CA562C">
        <w:t>for</w:t>
      </w:r>
      <w:r>
        <w:t xml:space="preserve"> </w:t>
      </w:r>
      <w:r w:rsidR="005E5D58">
        <w:t>CPP</w:t>
      </w:r>
      <w:r w:rsidR="00CA562C">
        <w:t xml:space="preserve"> customers</w:t>
      </w:r>
      <w:bookmarkEnd w:id="88"/>
    </w:p>
    <w:p w14:paraId="477AE61B" w14:textId="7275A6DA" w:rsidR="00393EF6" w:rsidRDefault="00393EF6" w:rsidP="00095AB1">
      <w:pPr>
        <w:spacing w:after="120"/>
      </w:pPr>
      <w:r>
        <w:t xml:space="preserve">Figures 5.5 and 5.6 illustrate the quality of the matches for the </w:t>
      </w:r>
      <w:r w:rsidR="005E5D58">
        <w:t>CPP</w:t>
      </w:r>
      <w:r>
        <w:t xml:space="preserve"> (TOU-DR-P) customers in the context of measuring TOU peak load impacts on non-event days. The figures show the average </w:t>
      </w:r>
      <w:r w:rsidR="005E5D58">
        <w:t>CPP</w:t>
      </w:r>
      <w:r>
        <w:t xml:space="preserve"> and matched control-group customer load profiles for the summer and </w:t>
      </w:r>
      <w:r w:rsidR="003C67C8">
        <w:t>winter</w:t>
      </w:r>
      <w:r>
        <w:t xml:space="preserve"> months, respectively. Two pairs of loads are shown, one for all weekdays, and one for the hottest (or coldest) days. In the summer months, the mean percentage error (MPE) of the TOU profile compared to the control-group profile is </w:t>
      </w:r>
      <w:r w:rsidR="00A20B6C">
        <w:t>1.9</w:t>
      </w:r>
      <w:r>
        <w:t xml:space="preserve"> percent, while the mean absolute percentage error (MAPE) is </w:t>
      </w:r>
      <w:r w:rsidR="00A20B6C">
        <w:t>2.1</w:t>
      </w:r>
      <w:r>
        <w:t xml:space="preserve"> percent. In the </w:t>
      </w:r>
      <w:r w:rsidR="003C67C8">
        <w:t>winter</w:t>
      </w:r>
      <w:r>
        <w:t xml:space="preserve"> months, the MPE is </w:t>
      </w:r>
      <w:r w:rsidR="000425AC">
        <w:t>0.</w:t>
      </w:r>
      <w:r w:rsidR="00A20B6C">
        <w:t>6</w:t>
      </w:r>
      <w:r>
        <w:t xml:space="preserve"> percent and the MAPE is </w:t>
      </w:r>
      <w:r w:rsidR="000425AC">
        <w:t>2.0</w:t>
      </w:r>
      <w:r>
        <w:t xml:space="preserve"> percent. </w:t>
      </w:r>
    </w:p>
    <w:p w14:paraId="5E774C2B" w14:textId="673C94B3" w:rsidR="00563167" w:rsidRDefault="00563167" w:rsidP="00095AB1">
      <w:pPr>
        <w:pStyle w:val="FigureCaption"/>
        <w:keepNext/>
        <w:keepLines/>
      </w:pPr>
      <w:bookmarkStart w:id="89" w:name="_Toc509576821"/>
      <w:r w:rsidRPr="007D2ED9">
        <w:t xml:space="preserve">Figure </w:t>
      </w:r>
      <w:r w:rsidR="00393EF6" w:rsidRPr="007D2ED9">
        <w:t>5</w:t>
      </w:r>
      <w:r w:rsidRPr="007D2ED9">
        <w:t>.</w:t>
      </w:r>
      <w:r w:rsidR="00393EF6" w:rsidRPr="007D2ED9">
        <w:t>5</w:t>
      </w:r>
      <w:r w:rsidRPr="007D2ED9">
        <w:t xml:space="preserve">: </w:t>
      </w:r>
      <w:r w:rsidR="005E5D58" w:rsidRPr="007D2ED9">
        <w:t>CPP</w:t>
      </w:r>
      <w:r w:rsidRPr="007D2ED9">
        <w:t xml:space="preserve"> and</w:t>
      </w:r>
      <w:r w:rsidR="0026102E">
        <w:t xml:space="preserve"> Matched</w:t>
      </w:r>
      <w:r w:rsidRPr="007D2ED9">
        <w:t xml:space="preserve"> Control Group Load Profiles – </w:t>
      </w:r>
      <w:r w:rsidRPr="007D2ED9">
        <w:rPr>
          <w:i/>
        </w:rPr>
        <w:t>Summer</w:t>
      </w:r>
      <w:bookmarkEnd w:id="89"/>
    </w:p>
    <w:p w14:paraId="685430BC" w14:textId="00E17D85" w:rsidR="00563167" w:rsidRDefault="004B42CA" w:rsidP="00095AB1">
      <w:pPr>
        <w:spacing w:after="120"/>
        <w:jc w:val="center"/>
      </w:pPr>
      <w:r>
        <w:rPr>
          <w:noProof/>
        </w:rPr>
        <w:drawing>
          <wp:inline distT="0" distB="0" distL="0" distR="0" wp14:anchorId="3E5EB248" wp14:editId="60B1E4C9">
            <wp:extent cx="5029835" cy="32004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029835" cy="3200400"/>
                    </a:xfrm>
                    <a:prstGeom prst="rect">
                      <a:avLst/>
                    </a:prstGeom>
                    <a:noFill/>
                  </pic:spPr>
                </pic:pic>
              </a:graphicData>
            </a:graphic>
          </wp:inline>
        </w:drawing>
      </w:r>
    </w:p>
    <w:p w14:paraId="638747B1" w14:textId="77777777" w:rsidR="00563167" w:rsidRDefault="00563167" w:rsidP="00095AB1">
      <w:pPr>
        <w:spacing w:after="120"/>
      </w:pPr>
    </w:p>
    <w:p w14:paraId="1B7F8B29" w14:textId="106D0790" w:rsidR="00CE6C9D" w:rsidRDefault="00CE6C9D" w:rsidP="00095AB1">
      <w:pPr>
        <w:pStyle w:val="FigureCaption"/>
        <w:keepNext/>
        <w:keepLines/>
      </w:pPr>
      <w:bookmarkStart w:id="90" w:name="_Toc509576822"/>
      <w:r w:rsidRPr="007D2ED9">
        <w:lastRenderedPageBreak/>
        <w:t xml:space="preserve">Figure </w:t>
      </w:r>
      <w:r w:rsidR="00393EF6" w:rsidRPr="007D2ED9">
        <w:t>5</w:t>
      </w:r>
      <w:r w:rsidRPr="007D2ED9">
        <w:t>.</w:t>
      </w:r>
      <w:r w:rsidR="00393EF6" w:rsidRPr="007D2ED9">
        <w:t>6</w:t>
      </w:r>
      <w:r w:rsidRPr="007D2ED9">
        <w:t xml:space="preserve">: </w:t>
      </w:r>
      <w:r w:rsidR="005E5D58" w:rsidRPr="007D2ED9">
        <w:t>CPP</w:t>
      </w:r>
      <w:r w:rsidRPr="007D2ED9">
        <w:t xml:space="preserve"> and </w:t>
      </w:r>
      <w:r w:rsidR="0026102E">
        <w:t xml:space="preserve">Matched </w:t>
      </w:r>
      <w:r w:rsidRPr="007D2ED9">
        <w:t xml:space="preserve">Control Group Load Profiles – </w:t>
      </w:r>
      <w:r w:rsidR="003C67C8" w:rsidRPr="007D2ED9">
        <w:rPr>
          <w:i/>
        </w:rPr>
        <w:t>Winter</w:t>
      </w:r>
      <w:bookmarkEnd w:id="90"/>
    </w:p>
    <w:p w14:paraId="518F9BB6" w14:textId="2790F184" w:rsidR="00CE6C9D" w:rsidRDefault="004B42CA" w:rsidP="00095AB1">
      <w:pPr>
        <w:spacing w:after="120"/>
        <w:jc w:val="center"/>
      </w:pPr>
      <w:r>
        <w:rPr>
          <w:noProof/>
        </w:rPr>
        <w:drawing>
          <wp:inline distT="0" distB="0" distL="0" distR="0" wp14:anchorId="49082C3E" wp14:editId="239372F0">
            <wp:extent cx="5023485" cy="3200400"/>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5023485" cy="3200400"/>
                    </a:xfrm>
                    <a:prstGeom prst="rect">
                      <a:avLst/>
                    </a:prstGeom>
                    <a:noFill/>
                  </pic:spPr>
                </pic:pic>
              </a:graphicData>
            </a:graphic>
          </wp:inline>
        </w:drawing>
      </w:r>
    </w:p>
    <w:p w14:paraId="2E2303E3" w14:textId="77777777" w:rsidR="00392CD5" w:rsidRDefault="00392CD5" w:rsidP="00095AB1">
      <w:pPr>
        <w:spacing w:after="120"/>
      </w:pPr>
    </w:p>
    <w:p w14:paraId="54F98BA6" w14:textId="0D043BA5" w:rsidR="00BF4FD5" w:rsidRPr="00CD354B" w:rsidRDefault="00BF4FD5" w:rsidP="00095AB1">
      <w:pPr>
        <w:pStyle w:val="Heading2"/>
        <w:spacing w:after="120"/>
      </w:pPr>
      <w:bookmarkStart w:id="91" w:name="_Toc509576763"/>
      <w:r>
        <w:t>5.</w:t>
      </w:r>
      <w:r w:rsidR="00563167">
        <w:t>4</w:t>
      </w:r>
      <w:r>
        <w:t xml:space="preserve"> Ex-post </w:t>
      </w:r>
      <w:r w:rsidR="00CA562C">
        <w:t xml:space="preserve">TOU </w:t>
      </w:r>
      <w:r>
        <w:t xml:space="preserve">load impacts </w:t>
      </w:r>
      <w:r w:rsidR="00CA562C">
        <w:t>for</w:t>
      </w:r>
      <w:r>
        <w:t xml:space="preserve"> </w:t>
      </w:r>
      <w:r w:rsidR="005E5D58">
        <w:t>CPP</w:t>
      </w:r>
      <w:r w:rsidR="00CA562C">
        <w:t xml:space="preserve"> customers</w:t>
      </w:r>
      <w:bookmarkEnd w:id="91"/>
    </w:p>
    <w:p w14:paraId="65027193" w14:textId="0D443843" w:rsidR="00403535" w:rsidRDefault="00622050" w:rsidP="00095AB1">
      <w:pPr>
        <w:spacing w:after="120"/>
      </w:pPr>
      <w:r>
        <w:t xml:space="preserve">Since TOU-DR-P customers experience TOU prices on all weekdays that are not RYU/CPP event days, it is of interest to examine their usage changes on non-event days, similarly to TOU customers. </w:t>
      </w:r>
      <w:r w:rsidR="008A351F">
        <w:t xml:space="preserve">This sub-section </w:t>
      </w:r>
      <w:r w:rsidR="00F64343">
        <w:t>reports</w:t>
      </w:r>
      <w:r w:rsidR="008A351F">
        <w:t xml:space="preserve"> </w:t>
      </w:r>
      <w:r w:rsidR="008A351F" w:rsidRPr="0012409F">
        <w:rPr>
          <w:i/>
        </w:rPr>
        <w:t>ex-post</w:t>
      </w:r>
      <w:r w:rsidR="008A351F">
        <w:t xml:space="preserve"> TOU load impact results for those customers enrolled in the CPP (TOU-DR-P) rate. </w:t>
      </w:r>
      <w:r w:rsidR="00237700">
        <w:t xml:space="preserve">Table </w:t>
      </w:r>
      <w:r>
        <w:t>5</w:t>
      </w:r>
      <w:r w:rsidR="00237700">
        <w:t>.</w:t>
      </w:r>
      <w:r>
        <w:t>4</w:t>
      </w:r>
      <w:r w:rsidR="00237700">
        <w:t xml:space="preserve"> summarizes </w:t>
      </w:r>
      <w:r w:rsidR="009B3624">
        <w:t xml:space="preserve">peak-period </w:t>
      </w:r>
      <w:r w:rsidR="00237700">
        <w:t xml:space="preserve">loads and load </w:t>
      </w:r>
      <w:r w:rsidR="004F7225">
        <w:t xml:space="preserve">impacts </w:t>
      </w:r>
      <w:r w:rsidR="00237700">
        <w:t>for the average summer (</w:t>
      </w:r>
      <w:r w:rsidR="00927654">
        <w:t>October 2016</w:t>
      </w:r>
      <w:r w:rsidR="004D47FD">
        <w:t xml:space="preserve">, and </w:t>
      </w:r>
      <w:r w:rsidR="00237700">
        <w:t>May through September 201</w:t>
      </w:r>
      <w:r w:rsidR="00E80973">
        <w:t>7</w:t>
      </w:r>
      <w:r w:rsidR="00237700">
        <w:t xml:space="preserve">) </w:t>
      </w:r>
      <w:r>
        <w:t xml:space="preserve">and </w:t>
      </w:r>
      <w:r w:rsidR="0081673F">
        <w:t>winter</w:t>
      </w:r>
      <w:r>
        <w:t xml:space="preserve"> (November 201</w:t>
      </w:r>
      <w:r w:rsidR="00E80973">
        <w:t>6</w:t>
      </w:r>
      <w:r>
        <w:t xml:space="preserve"> through April 201</w:t>
      </w:r>
      <w:r w:rsidR="00E80973">
        <w:t>7</w:t>
      </w:r>
      <w:r>
        <w:t xml:space="preserve">) </w:t>
      </w:r>
      <w:r w:rsidR="00237700">
        <w:t>weekday</w:t>
      </w:r>
      <w:r>
        <w:t>s, by month</w:t>
      </w:r>
      <w:r w:rsidR="00237700">
        <w:t xml:space="preserve">. </w:t>
      </w:r>
      <w:r w:rsidR="009143F7">
        <w:t>Reported e</w:t>
      </w:r>
      <w:r w:rsidR="0089126A">
        <w:t xml:space="preserve">nrollment in </w:t>
      </w:r>
      <w:r w:rsidR="005E5D58">
        <w:t>CPP</w:t>
      </w:r>
      <w:r w:rsidR="0089126A">
        <w:t xml:space="preserve"> grew from </w:t>
      </w:r>
      <w:r w:rsidR="00E80973">
        <w:t>2,724</w:t>
      </w:r>
      <w:r w:rsidR="00897748">
        <w:t xml:space="preserve"> </w:t>
      </w:r>
      <w:r w:rsidR="00E80973">
        <w:t>in October 2016</w:t>
      </w:r>
      <w:r w:rsidR="0089126A">
        <w:t xml:space="preserve"> to </w:t>
      </w:r>
      <w:r w:rsidR="003464EF">
        <w:t>just over</w:t>
      </w:r>
      <w:r w:rsidR="0089126A">
        <w:t xml:space="preserve"> </w:t>
      </w:r>
      <w:r w:rsidR="00E80973">
        <w:t>5,200 in September 2017</w:t>
      </w:r>
      <w:r w:rsidR="0089126A">
        <w:t>.</w:t>
      </w:r>
      <w:r w:rsidR="00393EF6">
        <w:rPr>
          <w:rStyle w:val="FootnoteReference"/>
        </w:rPr>
        <w:footnoteReference w:id="17"/>
      </w:r>
      <w:r w:rsidR="0089126A">
        <w:t xml:space="preserve"> </w:t>
      </w:r>
      <w:r w:rsidR="00A20B6C">
        <w:t>P</w:t>
      </w:r>
      <w:r w:rsidR="0089126A">
        <w:t xml:space="preserve">eak load impacts </w:t>
      </w:r>
      <w:r w:rsidR="00DB60E5">
        <w:t>varied</w:t>
      </w:r>
      <w:r w:rsidR="0089126A">
        <w:t xml:space="preserve"> </w:t>
      </w:r>
      <w:r w:rsidR="00FF377C">
        <w:t>across months</w:t>
      </w:r>
      <w:r w:rsidR="00DB60E5">
        <w:t>, with</w:t>
      </w:r>
      <w:r w:rsidR="004F7225">
        <w:t xml:space="preserve"> estimated</w:t>
      </w:r>
      <w:r w:rsidR="00DB60E5">
        <w:t xml:space="preserve"> load </w:t>
      </w:r>
      <w:r w:rsidR="004F7225">
        <w:t xml:space="preserve">reductions in all months </w:t>
      </w:r>
      <w:r w:rsidR="0089126A">
        <w:t xml:space="preserve">except for </w:t>
      </w:r>
      <w:r w:rsidR="00E80973">
        <w:t>October and November</w:t>
      </w:r>
      <w:r w:rsidR="004F7225">
        <w:t>. Peak load reductions</w:t>
      </w:r>
      <w:r w:rsidR="00E80973">
        <w:t xml:space="preserve"> rang</w:t>
      </w:r>
      <w:r w:rsidR="004F7225">
        <w:t>ed</w:t>
      </w:r>
      <w:r w:rsidR="00E80973">
        <w:t xml:space="preserve"> from less than 2.2</w:t>
      </w:r>
      <w:r w:rsidR="00B637C9">
        <w:t xml:space="preserve"> </w:t>
      </w:r>
      <w:r w:rsidR="003464EF">
        <w:t xml:space="preserve">percent </w:t>
      </w:r>
      <w:r w:rsidR="004F7225">
        <w:t xml:space="preserve">(in April) </w:t>
      </w:r>
      <w:r w:rsidR="00B637C9">
        <w:t xml:space="preserve">to </w:t>
      </w:r>
      <w:r w:rsidR="00E80973">
        <w:t>just over</w:t>
      </w:r>
      <w:r w:rsidR="003464EF">
        <w:t xml:space="preserve"> </w:t>
      </w:r>
      <w:r w:rsidR="00E80973">
        <w:t>8</w:t>
      </w:r>
      <w:r w:rsidR="00B637C9">
        <w:t xml:space="preserve"> percent of the reference load</w:t>
      </w:r>
      <w:r w:rsidR="004F7225">
        <w:t xml:space="preserve"> (in September)</w:t>
      </w:r>
      <w:r w:rsidR="0089126A">
        <w:t>.</w:t>
      </w:r>
    </w:p>
    <w:p w14:paraId="31C83087" w14:textId="29CC01F3" w:rsidR="00C13826" w:rsidRDefault="00237700" w:rsidP="00095AB1">
      <w:pPr>
        <w:spacing w:after="120"/>
      </w:pPr>
      <w:r>
        <w:t xml:space="preserve"> </w:t>
      </w:r>
    </w:p>
    <w:p w14:paraId="45196ED3" w14:textId="78D00876" w:rsidR="00813FDB" w:rsidRDefault="00E13312" w:rsidP="001A3F23">
      <w:pPr>
        <w:pStyle w:val="TableCaption"/>
        <w:keepNext/>
        <w:keepLines/>
      </w:pPr>
      <w:bookmarkStart w:id="92" w:name="_Toc509576797"/>
      <w:r w:rsidRPr="00B824FE">
        <w:lastRenderedPageBreak/>
        <w:t xml:space="preserve">Table </w:t>
      </w:r>
      <w:r w:rsidR="00622050" w:rsidRPr="00B824FE">
        <w:t>5</w:t>
      </w:r>
      <w:r w:rsidRPr="00B824FE">
        <w:t>.</w:t>
      </w:r>
      <w:r w:rsidR="00622050" w:rsidRPr="00B824FE">
        <w:t>4</w:t>
      </w:r>
      <w:r w:rsidRPr="00B824FE">
        <w:t xml:space="preserve">: </w:t>
      </w:r>
      <w:r w:rsidR="006D4EEC" w:rsidRPr="00B824FE">
        <w:t>TOU</w:t>
      </w:r>
      <w:r w:rsidR="00622050" w:rsidRPr="00B824FE">
        <w:t xml:space="preserve"> Peak Load Impacts </w:t>
      </w:r>
      <w:r w:rsidR="006D4EEC" w:rsidRPr="00B824FE">
        <w:t xml:space="preserve">for CPP Customers </w:t>
      </w:r>
      <w:r w:rsidR="00622050" w:rsidRPr="00B824FE">
        <w:t xml:space="preserve">– </w:t>
      </w:r>
      <w:r w:rsidR="00622050" w:rsidRPr="00B824FE">
        <w:rPr>
          <w:i/>
        </w:rPr>
        <w:t>Average Weekday by Month</w:t>
      </w:r>
      <w:bookmarkEnd w:id="92"/>
      <w:r>
        <w:t xml:space="preserve"> </w:t>
      </w:r>
    </w:p>
    <w:tbl>
      <w:tblPr>
        <w:tblW w:w="8880" w:type="dxa"/>
        <w:jc w:val="center"/>
        <w:tblLook w:val="04A0" w:firstRow="1" w:lastRow="0" w:firstColumn="1" w:lastColumn="0" w:noHBand="0" w:noVBand="1"/>
      </w:tblPr>
      <w:tblGrid>
        <w:gridCol w:w="1200"/>
        <w:gridCol w:w="960"/>
        <w:gridCol w:w="975"/>
        <w:gridCol w:w="1076"/>
        <w:gridCol w:w="1076"/>
        <w:gridCol w:w="989"/>
        <w:gridCol w:w="989"/>
        <w:gridCol w:w="960"/>
        <w:gridCol w:w="960"/>
      </w:tblGrid>
      <w:tr w:rsidR="001A3F23" w:rsidRPr="001A3F23" w14:paraId="42409F9D" w14:textId="77777777" w:rsidTr="00FC5EF2">
        <w:trPr>
          <w:trHeight w:val="20"/>
          <w:jc w:val="center"/>
        </w:trPr>
        <w:tc>
          <w:tcPr>
            <w:tcW w:w="1200" w:type="dxa"/>
            <w:tcBorders>
              <w:top w:val="single" w:sz="4" w:space="0" w:color="auto"/>
              <w:left w:val="single" w:sz="4" w:space="0" w:color="auto"/>
              <w:bottom w:val="nil"/>
              <w:right w:val="single" w:sz="4" w:space="0" w:color="FFFFFF"/>
            </w:tcBorders>
            <w:shd w:val="clear" w:color="000000" w:fill="132577"/>
            <w:noWrap/>
            <w:vAlign w:val="bottom"/>
            <w:hideMark/>
          </w:tcPr>
          <w:p w14:paraId="103315BE" w14:textId="77777777" w:rsidR="001A3F23" w:rsidRPr="001A3F23" w:rsidRDefault="001A3F23" w:rsidP="001A3F23">
            <w:pPr>
              <w:keepNext/>
              <w:rPr>
                <w:rFonts w:cs="Calibri"/>
                <w:color w:val="FFFFFF"/>
                <w:sz w:val="22"/>
                <w:szCs w:val="22"/>
              </w:rPr>
            </w:pPr>
            <w:r w:rsidRPr="001A3F23">
              <w:rPr>
                <w:rFonts w:cs="Calibri"/>
                <w:color w:val="FFFFFF"/>
                <w:sz w:val="22"/>
                <w:szCs w:val="22"/>
              </w:rPr>
              <w:t> </w:t>
            </w:r>
          </w:p>
        </w:tc>
        <w:tc>
          <w:tcPr>
            <w:tcW w:w="960" w:type="dxa"/>
            <w:tcBorders>
              <w:top w:val="single" w:sz="4" w:space="0" w:color="auto"/>
              <w:left w:val="nil"/>
              <w:bottom w:val="nil"/>
              <w:right w:val="single" w:sz="4" w:space="0" w:color="FFFFFF"/>
            </w:tcBorders>
            <w:shd w:val="clear" w:color="000000" w:fill="132577"/>
            <w:noWrap/>
            <w:vAlign w:val="bottom"/>
            <w:hideMark/>
          </w:tcPr>
          <w:p w14:paraId="12D5D059" w14:textId="77777777" w:rsidR="001A3F23" w:rsidRPr="001A3F23" w:rsidRDefault="001A3F23" w:rsidP="001A3F23">
            <w:pPr>
              <w:keepNext/>
              <w:rPr>
                <w:rFonts w:cs="Calibri"/>
                <w:color w:val="FFFFFF"/>
                <w:sz w:val="22"/>
                <w:szCs w:val="22"/>
              </w:rPr>
            </w:pPr>
            <w:r w:rsidRPr="001A3F23">
              <w:rPr>
                <w:rFonts w:cs="Calibri"/>
                <w:color w:val="FFFFFF"/>
                <w:sz w:val="22"/>
                <w:szCs w:val="22"/>
              </w:rPr>
              <w:t> </w:t>
            </w:r>
          </w:p>
        </w:tc>
        <w:tc>
          <w:tcPr>
            <w:tcW w:w="960" w:type="dxa"/>
            <w:tcBorders>
              <w:top w:val="single" w:sz="4" w:space="0" w:color="auto"/>
              <w:left w:val="nil"/>
              <w:bottom w:val="nil"/>
              <w:right w:val="single" w:sz="4" w:space="0" w:color="FFFFFF"/>
            </w:tcBorders>
            <w:shd w:val="clear" w:color="000000" w:fill="132577"/>
            <w:noWrap/>
            <w:vAlign w:val="bottom"/>
            <w:hideMark/>
          </w:tcPr>
          <w:p w14:paraId="2FA6B442" w14:textId="77777777" w:rsidR="001A3F23" w:rsidRPr="001A3F23" w:rsidRDefault="001A3F23" w:rsidP="001A3F23">
            <w:pPr>
              <w:keepNext/>
              <w:rPr>
                <w:rFonts w:cs="Calibri"/>
                <w:color w:val="FFFFFF"/>
                <w:sz w:val="22"/>
                <w:szCs w:val="22"/>
              </w:rPr>
            </w:pPr>
            <w:r w:rsidRPr="001A3F23">
              <w:rPr>
                <w:rFonts w:cs="Calibri"/>
                <w:color w:val="FFFFFF"/>
                <w:sz w:val="22"/>
                <w:szCs w:val="22"/>
              </w:rPr>
              <w:t> </w:t>
            </w:r>
          </w:p>
        </w:tc>
        <w:tc>
          <w:tcPr>
            <w:tcW w:w="1920" w:type="dxa"/>
            <w:gridSpan w:val="2"/>
            <w:tcBorders>
              <w:top w:val="single" w:sz="4" w:space="0" w:color="auto"/>
              <w:left w:val="nil"/>
              <w:bottom w:val="single" w:sz="4" w:space="0" w:color="FFFFFF"/>
              <w:right w:val="single" w:sz="4" w:space="0" w:color="FFFFFF"/>
            </w:tcBorders>
            <w:shd w:val="clear" w:color="000000" w:fill="132577"/>
            <w:noWrap/>
            <w:vAlign w:val="bottom"/>
            <w:hideMark/>
          </w:tcPr>
          <w:p w14:paraId="295E1E39" w14:textId="77777777" w:rsidR="001A3F23" w:rsidRPr="001A3F23" w:rsidRDefault="001A3F23" w:rsidP="001A3F23">
            <w:pPr>
              <w:keepNext/>
              <w:jc w:val="center"/>
              <w:rPr>
                <w:rFonts w:cs="Calibri"/>
                <w:b/>
                <w:bCs/>
                <w:color w:val="FFFFFF"/>
                <w:sz w:val="22"/>
                <w:szCs w:val="22"/>
              </w:rPr>
            </w:pPr>
            <w:r w:rsidRPr="001A3F23">
              <w:rPr>
                <w:rFonts w:cs="Calibri"/>
                <w:b/>
                <w:bCs/>
                <w:color w:val="FFFFFF"/>
                <w:sz w:val="22"/>
                <w:szCs w:val="22"/>
              </w:rPr>
              <w:t>Aggregate</w:t>
            </w:r>
          </w:p>
        </w:tc>
        <w:tc>
          <w:tcPr>
            <w:tcW w:w="1920" w:type="dxa"/>
            <w:gridSpan w:val="2"/>
            <w:tcBorders>
              <w:top w:val="single" w:sz="4" w:space="0" w:color="auto"/>
              <w:left w:val="nil"/>
              <w:bottom w:val="single" w:sz="4" w:space="0" w:color="FFFFFF"/>
              <w:right w:val="single" w:sz="4" w:space="0" w:color="FFFFFF"/>
            </w:tcBorders>
            <w:shd w:val="clear" w:color="000000" w:fill="132577"/>
            <w:noWrap/>
            <w:vAlign w:val="bottom"/>
            <w:hideMark/>
          </w:tcPr>
          <w:p w14:paraId="1ABA26CF" w14:textId="77777777" w:rsidR="001A3F23" w:rsidRPr="001A3F23" w:rsidRDefault="001A3F23" w:rsidP="001A3F23">
            <w:pPr>
              <w:keepNext/>
              <w:jc w:val="center"/>
              <w:rPr>
                <w:rFonts w:cs="Calibri"/>
                <w:b/>
                <w:bCs/>
                <w:color w:val="FFFFFF"/>
                <w:sz w:val="22"/>
                <w:szCs w:val="22"/>
              </w:rPr>
            </w:pPr>
            <w:r w:rsidRPr="001A3F23">
              <w:rPr>
                <w:rFonts w:cs="Calibri"/>
                <w:b/>
                <w:bCs/>
                <w:color w:val="FFFFFF"/>
                <w:sz w:val="22"/>
                <w:szCs w:val="22"/>
              </w:rPr>
              <w:t>Per-Customer</w:t>
            </w:r>
          </w:p>
        </w:tc>
        <w:tc>
          <w:tcPr>
            <w:tcW w:w="960" w:type="dxa"/>
            <w:tcBorders>
              <w:top w:val="single" w:sz="4" w:space="0" w:color="auto"/>
              <w:left w:val="nil"/>
              <w:bottom w:val="nil"/>
              <w:right w:val="nil"/>
            </w:tcBorders>
            <w:shd w:val="clear" w:color="000000" w:fill="132577"/>
            <w:noWrap/>
            <w:vAlign w:val="bottom"/>
            <w:hideMark/>
          </w:tcPr>
          <w:p w14:paraId="726F8C38" w14:textId="77777777" w:rsidR="001A3F23" w:rsidRPr="001A3F23" w:rsidRDefault="001A3F23" w:rsidP="001A3F23">
            <w:pPr>
              <w:keepNext/>
              <w:rPr>
                <w:rFonts w:cs="Calibri"/>
                <w:color w:val="FFFFFF"/>
                <w:sz w:val="22"/>
                <w:szCs w:val="22"/>
              </w:rPr>
            </w:pPr>
            <w:r w:rsidRPr="001A3F23">
              <w:rPr>
                <w:rFonts w:cs="Calibri"/>
                <w:color w:val="FFFFFF"/>
                <w:sz w:val="22"/>
                <w:szCs w:val="22"/>
              </w:rPr>
              <w:t> </w:t>
            </w:r>
          </w:p>
        </w:tc>
        <w:tc>
          <w:tcPr>
            <w:tcW w:w="960" w:type="dxa"/>
            <w:tcBorders>
              <w:top w:val="single" w:sz="4" w:space="0" w:color="auto"/>
              <w:left w:val="single" w:sz="4" w:space="0" w:color="FFFFFF"/>
              <w:bottom w:val="nil"/>
              <w:right w:val="single" w:sz="4" w:space="0" w:color="auto"/>
            </w:tcBorders>
            <w:shd w:val="clear" w:color="000000" w:fill="132577"/>
            <w:noWrap/>
            <w:vAlign w:val="bottom"/>
            <w:hideMark/>
          </w:tcPr>
          <w:p w14:paraId="3C6322F3" w14:textId="77777777" w:rsidR="001A3F23" w:rsidRPr="001A3F23" w:rsidRDefault="001A3F23" w:rsidP="001A3F23">
            <w:pPr>
              <w:keepNext/>
              <w:rPr>
                <w:rFonts w:cs="Calibri"/>
                <w:color w:val="FFFFFF"/>
                <w:sz w:val="22"/>
                <w:szCs w:val="22"/>
              </w:rPr>
            </w:pPr>
            <w:r w:rsidRPr="001A3F23">
              <w:rPr>
                <w:rFonts w:cs="Calibri"/>
                <w:color w:val="FFFFFF"/>
                <w:sz w:val="22"/>
                <w:szCs w:val="22"/>
              </w:rPr>
              <w:t> </w:t>
            </w:r>
          </w:p>
        </w:tc>
      </w:tr>
      <w:tr w:rsidR="001A3F23" w:rsidRPr="001A3F23" w14:paraId="43107323" w14:textId="77777777" w:rsidTr="0010027E">
        <w:trPr>
          <w:trHeight w:val="20"/>
          <w:jc w:val="center"/>
        </w:trPr>
        <w:tc>
          <w:tcPr>
            <w:tcW w:w="1200" w:type="dxa"/>
            <w:tcBorders>
              <w:top w:val="nil"/>
              <w:left w:val="single" w:sz="4" w:space="0" w:color="auto"/>
              <w:bottom w:val="single" w:sz="4" w:space="0" w:color="auto"/>
              <w:right w:val="single" w:sz="4" w:space="0" w:color="FFFFFF"/>
            </w:tcBorders>
            <w:shd w:val="clear" w:color="auto" w:fill="0C2577"/>
            <w:noWrap/>
            <w:vAlign w:val="bottom"/>
            <w:hideMark/>
          </w:tcPr>
          <w:p w14:paraId="443833FC" w14:textId="77777777" w:rsidR="001A3F23" w:rsidRPr="001A3F23" w:rsidRDefault="001A3F23" w:rsidP="001A3F23">
            <w:pPr>
              <w:keepNext/>
              <w:jc w:val="center"/>
              <w:rPr>
                <w:rFonts w:cs="Calibri"/>
                <w:b/>
                <w:bCs/>
                <w:color w:val="FFFFFF"/>
                <w:sz w:val="22"/>
                <w:szCs w:val="22"/>
              </w:rPr>
            </w:pPr>
            <w:r w:rsidRPr="001A3F23">
              <w:rPr>
                <w:rFonts w:cs="Calibri"/>
                <w:b/>
                <w:bCs/>
                <w:color w:val="FFFFFF"/>
                <w:sz w:val="22"/>
                <w:szCs w:val="22"/>
              </w:rPr>
              <w:t>Month</w:t>
            </w:r>
          </w:p>
        </w:tc>
        <w:tc>
          <w:tcPr>
            <w:tcW w:w="960" w:type="dxa"/>
            <w:tcBorders>
              <w:top w:val="nil"/>
              <w:left w:val="nil"/>
              <w:bottom w:val="single" w:sz="4" w:space="0" w:color="auto"/>
              <w:right w:val="single" w:sz="4" w:space="0" w:color="FFFFFF"/>
            </w:tcBorders>
            <w:shd w:val="clear" w:color="auto" w:fill="0C2577"/>
            <w:vAlign w:val="bottom"/>
            <w:hideMark/>
          </w:tcPr>
          <w:p w14:paraId="3B2F1E3E" w14:textId="77777777" w:rsidR="001A3F23" w:rsidRPr="001A3F23" w:rsidRDefault="001A3F23" w:rsidP="001A3F23">
            <w:pPr>
              <w:keepNext/>
              <w:jc w:val="center"/>
              <w:rPr>
                <w:rFonts w:cs="Calibri"/>
                <w:b/>
                <w:bCs/>
                <w:color w:val="FFFFFF"/>
                <w:sz w:val="22"/>
                <w:szCs w:val="22"/>
              </w:rPr>
            </w:pPr>
            <w:r w:rsidRPr="001A3F23">
              <w:rPr>
                <w:rFonts w:cs="Calibri"/>
                <w:b/>
                <w:bCs/>
                <w:color w:val="FFFFFF"/>
                <w:sz w:val="22"/>
                <w:szCs w:val="22"/>
              </w:rPr>
              <w:t>Climate Zone</w:t>
            </w:r>
          </w:p>
        </w:tc>
        <w:tc>
          <w:tcPr>
            <w:tcW w:w="960" w:type="dxa"/>
            <w:tcBorders>
              <w:top w:val="nil"/>
              <w:left w:val="nil"/>
              <w:bottom w:val="single" w:sz="4" w:space="0" w:color="auto"/>
              <w:right w:val="single" w:sz="4" w:space="0" w:color="FFFFFF"/>
            </w:tcBorders>
            <w:shd w:val="clear" w:color="auto" w:fill="0C2577"/>
            <w:vAlign w:val="bottom"/>
            <w:hideMark/>
          </w:tcPr>
          <w:p w14:paraId="19A8063E" w14:textId="77777777" w:rsidR="001A3F23" w:rsidRPr="001A3F23" w:rsidRDefault="001A3F23" w:rsidP="001A3F23">
            <w:pPr>
              <w:keepNext/>
              <w:jc w:val="center"/>
              <w:rPr>
                <w:rFonts w:cs="Calibri"/>
                <w:b/>
                <w:bCs/>
                <w:color w:val="FFFFFF"/>
                <w:sz w:val="22"/>
                <w:szCs w:val="22"/>
              </w:rPr>
            </w:pPr>
            <w:r w:rsidRPr="001A3F23">
              <w:rPr>
                <w:rFonts w:cs="Calibri"/>
                <w:b/>
                <w:bCs/>
                <w:color w:val="FFFFFF"/>
                <w:sz w:val="22"/>
                <w:szCs w:val="22"/>
              </w:rPr>
              <w:t>Enrolled</w:t>
            </w:r>
          </w:p>
        </w:tc>
        <w:tc>
          <w:tcPr>
            <w:tcW w:w="960" w:type="dxa"/>
            <w:tcBorders>
              <w:top w:val="nil"/>
              <w:left w:val="nil"/>
              <w:bottom w:val="nil"/>
              <w:right w:val="nil"/>
            </w:tcBorders>
            <w:shd w:val="clear" w:color="auto" w:fill="0C2577"/>
            <w:vAlign w:val="bottom"/>
            <w:hideMark/>
          </w:tcPr>
          <w:p w14:paraId="5E044A92" w14:textId="77777777" w:rsidR="001A3F23" w:rsidRPr="001A3F23" w:rsidRDefault="001A3F23" w:rsidP="001A3F23">
            <w:pPr>
              <w:keepNext/>
              <w:jc w:val="center"/>
              <w:rPr>
                <w:rFonts w:cs="Calibri"/>
                <w:b/>
                <w:bCs/>
                <w:color w:val="FFFFFF"/>
                <w:sz w:val="22"/>
                <w:szCs w:val="22"/>
              </w:rPr>
            </w:pPr>
            <w:r w:rsidRPr="001A3F23">
              <w:rPr>
                <w:rFonts w:cs="Calibri"/>
                <w:b/>
                <w:bCs/>
                <w:color w:val="FFFFFF"/>
                <w:sz w:val="22"/>
                <w:szCs w:val="22"/>
              </w:rPr>
              <w:t>Peak Ref. Load (MWh/h)</w:t>
            </w:r>
          </w:p>
        </w:tc>
        <w:tc>
          <w:tcPr>
            <w:tcW w:w="960" w:type="dxa"/>
            <w:tcBorders>
              <w:top w:val="nil"/>
              <w:left w:val="nil"/>
              <w:bottom w:val="nil"/>
              <w:right w:val="single" w:sz="4" w:space="0" w:color="FFFFFF"/>
            </w:tcBorders>
            <w:shd w:val="clear" w:color="auto" w:fill="0C2577"/>
            <w:vAlign w:val="bottom"/>
            <w:hideMark/>
          </w:tcPr>
          <w:p w14:paraId="65AD98E8" w14:textId="77777777" w:rsidR="001A3F23" w:rsidRPr="001A3F23" w:rsidRDefault="001A3F23" w:rsidP="001A3F23">
            <w:pPr>
              <w:keepNext/>
              <w:jc w:val="center"/>
              <w:rPr>
                <w:rFonts w:cs="Calibri"/>
                <w:b/>
                <w:bCs/>
                <w:color w:val="FFFFFF"/>
                <w:sz w:val="22"/>
                <w:szCs w:val="22"/>
              </w:rPr>
            </w:pPr>
            <w:r w:rsidRPr="001A3F23">
              <w:rPr>
                <w:rFonts w:cs="Calibri"/>
                <w:b/>
                <w:bCs/>
                <w:color w:val="FFFFFF"/>
                <w:sz w:val="22"/>
                <w:szCs w:val="22"/>
              </w:rPr>
              <w:t>Peak Load Impact (MWh/h)</w:t>
            </w:r>
          </w:p>
        </w:tc>
        <w:tc>
          <w:tcPr>
            <w:tcW w:w="960" w:type="dxa"/>
            <w:tcBorders>
              <w:top w:val="nil"/>
              <w:left w:val="nil"/>
              <w:bottom w:val="nil"/>
              <w:right w:val="nil"/>
            </w:tcBorders>
            <w:shd w:val="clear" w:color="auto" w:fill="0C2577"/>
            <w:vAlign w:val="bottom"/>
            <w:hideMark/>
          </w:tcPr>
          <w:p w14:paraId="4FCFDC44" w14:textId="77777777" w:rsidR="001A3F23" w:rsidRPr="001A3F23" w:rsidRDefault="001A3F23" w:rsidP="001A3F23">
            <w:pPr>
              <w:keepNext/>
              <w:jc w:val="center"/>
              <w:rPr>
                <w:rFonts w:cs="Calibri"/>
                <w:b/>
                <w:bCs/>
                <w:color w:val="FFFFFF"/>
                <w:sz w:val="22"/>
                <w:szCs w:val="22"/>
              </w:rPr>
            </w:pPr>
            <w:r w:rsidRPr="001A3F23">
              <w:rPr>
                <w:rFonts w:cs="Calibri"/>
                <w:b/>
                <w:bCs/>
                <w:color w:val="FFFFFF"/>
                <w:sz w:val="22"/>
                <w:szCs w:val="22"/>
              </w:rPr>
              <w:t>Peak Ref. Load (kWh/h)</w:t>
            </w:r>
          </w:p>
        </w:tc>
        <w:tc>
          <w:tcPr>
            <w:tcW w:w="960" w:type="dxa"/>
            <w:tcBorders>
              <w:top w:val="nil"/>
              <w:left w:val="nil"/>
              <w:bottom w:val="nil"/>
              <w:right w:val="single" w:sz="4" w:space="0" w:color="FFFFFF"/>
            </w:tcBorders>
            <w:shd w:val="clear" w:color="auto" w:fill="0C2577"/>
            <w:vAlign w:val="bottom"/>
            <w:hideMark/>
          </w:tcPr>
          <w:p w14:paraId="7441EA53" w14:textId="77777777" w:rsidR="001A3F23" w:rsidRPr="001A3F23" w:rsidRDefault="001A3F23" w:rsidP="001A3F23">
            <w:pPr>
              <w:keepNext/>
              <w:jc w:val="center"/>
              <w:rPr>
                <w:rFonts w:cs="Calibri"/>
                <w:b/>
                <w:bCs/>
                <w:color w:val="FFFFFF"/>
                <w:sz w:val="22"/>
                <w:szCs w:val="22"/>
              </w:rPr>
            </w:pPr>
            <w:r w:rsidRPr="001A3F23">
              <w:rPr>
                <w:rFonts w:cs="Calibri"/>
                <w:b/>
                <w:bCs/>
                <w:color w:val="FFFFFF"/>
                <w:sz w:val="22"/>
                <w:szCs w:val="22"/>
              </w:rPr>
              <w:t>Peak Load Impact (kWh/h)</w:t>
            </w:r>
          </w:p>
        </w:tc>
        <w:tc>
          <w:tcPr>
            <w:tcW w:w="960" w:type="dxa"/>
            <w:tcBorders>
              <w:top w:val="nil"/>
              <w:left w:val="nil"/>
              <w:bottom w:val="nil"/>
              <w:right w:val="nil"/>
            </w:tcBorders>
            <w:shd w:val="clear" w:color="auto" w:fill="0C2577"/>
            <w:vAlign w:val="bottom"/>
            <w:hideMark/>
          </w:tcPr>
          <w:p w14:paraId="1FC77940" w14:textId="77777777" w:rsidR="001A3F23" w:rsidRPr="001A3F23" w:rsidRDefault="001A3F23" w:rsidP="001A3F23">
            <w:pPr>
              <w:keepNext/>
              <w:jc w:val="center"/>
              <w:rPr>
                <w:rFonts w:cs="Calibri"/>
                <w:b/>
                <w:bCs/>
                <w:color w:val="FFFFFF"/>
                <w:sz w:val="22"/>
                <w:szCs w:val="22"/>
              </w:rPr>
            </w:pPr>
            <w:r w:rsidRPr="001A3F23">
              <w:rPr>
                <w:rFonts w:cs="Calibri"/>
                <w:b/>
                <w:bCs/>
                <w:color w:val="FFFFFF"/>
                <w:sz w:val="22"/>
                <w:szCs w:val="22"/>
              </w:rPr>
              <w:t>% Peak Load Impact</w:t>
            </w:r>
          </w:p>
        </w:tc>
        <w:tc>
          <w:tcPr>
            <w:tcW w:w="960" w:type="dxa"/>
            <w:tcBorders>
              <w:top w:val="nil"/>
              <w:left w:val="single" w:sz="4" w:space="0" w:color="FFFFFF"/>
              <w:bottom w:val="single" w:sz="4" w:space="0" w:color="auto"/>
              <w:right w:val="single" w:sz="4" w:space="0" w:color="auto"/>
            </w:tcBorders>
            <w:shd w:val="clear" w:color="auto" w:fill="0C2577"/>
            <w:vAlign w:val="bottom"/>
            <w:hideMark/>
          </w:tcPr>
          <w:p w14:paraId="428352E8" w14:textId="77777777" w:rsidR="001A3F23" w:rsidRPr="001A3F23" w:rsidRDefault="001A3F23" w:rsidP="001A3F23">
            <w:pPr>
              <w:keepNext/>
              <w:jc w:val="center"/>
              <w:rPr>
                <w:rFonts w:cs="Calibri"/>
                <w:b/>
                <w:bCs/>
                <w:color w:val="FFFFFF"/>
                <w:sz w:val="22"/>
                <w:szCs w:val="22"/>
              </w:rPr>
            </w:pPr>
            <w:r w:rsidRPr="001A3F23">
              <w:rPr>
                <w:rFonts w:cs="Calibri"/>
                <w:b/>
                <w:bCs/>
                <w:color w:val="FFFFFF"/>
                <w:sz w:val="22"/>
                <w:szCs w:val="22"/>
              </w:rPr>
              <w:t>Ave. Peak Temp.</w:t>
            </w:r>
          </w:p>
        </w:tc>
      </w:tr>
      <w:tr w:rsidR="001A3F23" w:rsidRPr="001A3F23" w14:paraId="6F178874" w14:textId="77777777" w:rsidTr="00FC5EF2">
        <w:trPr>
          <w:trHeight w:val="20"/>
          <w:jc w:val="center"/>
        </w:trPr>
        <w:tc>
          <w:tcPr>
            <w:tcW w:w="1200" w:type="dxa"/>
            <w:tcBorders>
              <w:top w:val="nil"/>
              <w:left w:val="single" w:sz="4" w:space="0" w:color="auto"/>
              <w:bottom w:val="single" w:sz="4" w:space="0" w:color="auto"/>
              <w:right w:val="nil"/>
            </w:tcBorders>
            <w:shd w:val="clear" w:color="000000" w:fill="FFFFFF"/>
            <w:noWrap/>
            <w:vAlign w:val="bottom"/>
            <w:hideMark/>
          </w:tcPr>
          <w:p w14:paraId="691DCBEC"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Oct-16</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724FE24" w14:textId="77777777" w:rsidR="001A3F23" w:rsidRPr="001A3F23" w:rsidRDefault="001A3F23" w:rsidP="001A3F23">
            <w:pPr>
              <w:keepNext/>
              <w:jc w:val="center"/>
              <w:rPr>
                <w:rFonts w:cs="Calibri"/>
                <w:sz w:val="22"/>
                <w:szCs w:val="22"/>
              </w:rPr>
            </w:pPr>
            <w:r w:rsidRPr="001A3F23">
              <w:rPr>
                <w:rFonts w:cs="Calibri"/>
                <w:sz w:val="22"/>
                <w:szCs w:val="22"/>
              </w:rPr>
              <w:t>All</w:t>
            </w:r>
          </w:p>
        </w:tc>
        <w:tc>
          <w:tcPr>
            <w:tcW w:w="960" w:type="dxa"/>
            <w:tcBorders>
              <w:top w:val="nil"/>
              <w:left w:val="nil"/>
              <w:bottom w:val="single" w:sz="4" w:space="0" w:color="auto"/>
              <w:right w:val="nil"/>
            </w:tcBorders>
            <w:shd w:val="clear" w:color="000000" w:fill="FFFFFF"/>
            <w:noWrap/>
            <w:vAlign w:val="bottom"/>
            <w:hideMark/>
          </w:tcPr>
          <w:p w14:paraId="21368A04"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2,724</w:t>
            </w:r>
          </w:p>
        </w:tc>
        <w:tc>
          <w:tcPr>
            <w:tcW w:w="960" w:type="dxa"/>
            <w:tcBorders>
              <w:top w:val="single" w:sz="4" w:space="0" w:color="auto"/>
              <w:left w:val="single" w:sz="4" w:space="0" w:color="auto"/>
              <w:bottom w:val="single" w:sz="4" w:space="0" w:color="auto"/>
              <w:right w:val="nil"/>
            </w:tcBorders>
            <w:shd w:val="clear" w:color="000000" w:fill="FFFFFF"/>
            <w:noWrap/>
            <w:vAlign w:val="bottom"/>
            <w:hideMark/>
          </w:tcPr>
          <w:p w14:paraId="44597440"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1.80</w:t>
            </w:r>
          </w:p>
        </w:tc>
        <w:tc>
          <w:tcPr>
            <w:tcW w:w="960" w:type="dxa"/>
            <w:tcBorders>
              <w:top w:val="single" w:sz="4" w:space="0" w:color="auto"/>
              <w:left w:val="nil"/>
              <w:bottom w:val="single" w:sz="4" w:space="0" w:color="auto"/>
              <w:right w:val="single" w:sz="4" w:space="0" w:color="auto"/>
            </w:tcBorders>
            <w:shd w:val="clear" w:color="000000" w:fill="FFFFFF"/>
            <w:noWrap/>
            <w:vAlign w:val="bottom"/>
            <w:hideMark/>
          </w:tcPr>
          <w:p w14:paraId="36CD88F4"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0.00</w:t>
            </w:r>
          </w:p>
        </w:tc>
        <w:tc>
          <w:tcPr>
            <w:tcW w:w="960" w:type="dxa"/>
            <w:tcBorders>
              <w:top w:val="single" w:sz="4" w:space="0" w:color="auto"/>
              <w:left w:val="nil"/>
              <w:bottom w:val="single" w:sz="4" w:space="0" w:color="auto"/>
              <w:right w:val="nil"/>
            </w:tcBorders>
            <w:shd w:val="clear" w:color="000000" w:fill="FFFFFF"/>
            <w:noWrap/>
            <w:vAlign w:val="bottom"/>
            <w:hideMark/>
          </w:tcPr>
          <w:p w14:paraId="060BB9FB"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0.66</w:t>
            </w:r>
          </w:p>
        </w:tc>
        <w:tc>
          <w:tcPr>
            <w:tcW w:w="960" w:type="dxa"/>
            <w:tcBorders>
              <w:top w:val="single" w:sz="4" w:space="0" w:color="auto"/>
              <w:left w:val="nil"/>
              <w:bottom w:val="single" w:sz="4" w:space="0" w:color="auto"/>
              <w:right w:val="nil"/>
            </w:tcBorders>
            <w:shd w:val="clear" w:color="000000" w:fill="FFFFFF"/>
            <w:noWrap/>
            <w:vAlign w:val="bottom"/>
            <w:hideMark/>
          </w:tcPr>
          <w:p w14:paraId="0AEA94A6"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0.00</w:t>
            </w:r>
          </w:p>
        </w:tc>
        <w:tc>
          <w:tcPr>
            <w:tcW w:w="96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64555C33" w14:textId="77777777" w:rsidR="001A3F23" w:rsidRPr="001A3F23" w:rsidRDefault="001A3F23" w:rsidP="001A3F23">
            <w:pPr>
              <w:keepNext/>
              <w:jc w:val="center"/>
              <w:rPr>
                <w:rFonts w:cs="Calibri"/>
                <w:sz w:val="22"/>
                <w:szCs w:val="22"/>
              </w:rPr>
            </w:pPr>
            <w:r w:rsidRPr="001A3F23">
              <w:rPr>
                <w:rFonts w:cs="Calibri"/>
                <w:sz w:val="22"/>
                <w:szCs w:val="22"/>
              </w:rPr>
              <w:t>-0.1%</w:t>
            </w:r>
          </w:p>
        </w:tc>
        <w:tc>
          <w:tcPr>
            <w:tcW w:w="960" w:type="dxa"/>
            <w:tcBorders>
              <w:top w:val="nil"/>
              <w:left w:val="nil"/>
              <w:bottom w:val="single" w:sz="4" w:space="0" w:color="auto"/>
              <w:right w:val="single" w:sz="4" w:space="0" w:color="auto"/>
            </w:tcBorders>
            <w:shd w:val="clear" w:color="000000" w:fill="FFFFFF"/>
            <w:noWrap/>
            <w:vAlign w:val="bottom"/>
            <w:hideMark/>
          </w:tcPr>
          <w:p w14:paraId="39BEFDB3" w14:textId="77777777" w:rsidR="001A3F23" w:rsidRPr="001A3F23" w:rsidRDefault="001A3F23" w:rsidP="001A3F23">
            <w:pPr>
              <w:keepNext/>
              <w:jc w:val="center"/>
              <w:rPr>
                <w:rFonts w:cs="Calibri"/>
                <w:sz w:val="22"/>
                <w:szCs w:val="22"/>
              </w:rPr>
            </w:pPr>
            <w:r w:rsidRPr="001A3F23">
              <w:rPr>
                <w:rFonts w:cs="Calibri"/>
                <w:sz w:val="22"/>
                <w:szCs w:val="22"/>
              </w:rPr>
              <w:t>76</w:t>
            </w:r>
          </w:p>
        </w:tc>
      </w:tr>
      <w:tr w:rsidR="001A3F23" w:rsidRPr="001A3F23" w14:paraId="672D3D67" w14:textId="77777777" w:rsidTr="00FC5EF2">
        <w:trPr>
          <w:trHeight w:val="20"/>
          <w:jc w:val="center"/>
        </w:trPr>
        <w:tc>
          <w:tcPr>
            <w:tcW w:w="1200" w:type="dxa"/>
            <w:tcBorders>
              <w:top w:val="nil"/>
              <w:left w:val="single" w:sz="4" w:space="0" w:color="auto"/>
              <w:bottom w:val="nil"/>
              <w:right w:val="nil"/>
            </w:tcBorders>
            <w:shd w:val="clear" w:color="000000" w:fill="D9E1F2"/>
            <w:noWrap/>
            <w:vAlign w:val="bottom"/>
            <w:hideMark/>
          </w:tcPr>
          <w:p w14:paraId="74DAAE77"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Nov-16</w:t>
            </w:r>
          </w:p>
        </w:tc>
        <w:tc>
          <w:tcPr>
            <w:tcW w:w="960" w:type="dxa"/>
            <w:tcBorders>
              <w:top w:val="nil"/>
              <w:left w:val="single" w:sz="4" w:space="0" w:color="auto"/>
              <w:bottom w:val="nil"/>
              <w:right w:val="single" w:sz="4" w:space="0" w:color="auto"/>
            </w:tcBorders>
            <w:shd w:val="clear" w:color="000000" w:fill="D9E1F2"/>
            <w:noWrap/>
            <w:vAlign w:val="bottom"/>
            <w:hideMark/>
          </w:tcPr>
          <w:p w14:paraId="046413D4" w14:textId="77777777" w:rsidR="001A3F23" w:rsidRPr="001A3F23" w:rsidRDefault="001A3F23" w:rsidP="001A3F23">
            <w:pPr>
              <w:keepNext/>
              <w:jc w:val="center"/>
              <w:rPr>
                <w:rFonts w:cs="Calibri"/>
                <w:sz w:val="22"/>
                <w:szCs w:val="22"/>
              </w:rPr>
            </w:pPr>
            <w:r w:rsidRPr="001A3F23">
              <w:rPr>
                <w:rFonts w:cs="Calibri"/>
                <w:sz w:val="22"/>
                <w:szCs w:val="22"/>
              </w:rPr>
              <w:t>All</w:t>
            </w:r>
          </w:p>
        </w:tc>
        <w:tc>
          <w:tcPr>
            <w:tcW w:w="960" w:type="dxa"/>
            <w:tcBorders>
              <w:top w:val="nil"/>
              <w:left w:val="nil"/>
              <w:bottom w:val="nil"/>
              <w:right w:val="nil"/>
            </w:tcBorders>
            <w:shd w:val="clear" w:color="000000" w:fill="D9E1F2"/>
            <w:noWrap/>
            <w:vAlign w:val="bottom"/>
            <w:hideMark/>
          </w:tcPr>
          <w:p w14:paraId="0E596497"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2,917</w:t>
            </w:r>
          </w:p>
        </w:tc>
        <w:tc>
          <w:tcPr>
            <w:tcW w:w="960" w:type="dxa"/>
            <w:tcBorders>
              <w:top w:val="nil"/>
              <w:left w:val="single" w:sz="4" w:space="0" w:color="auto"/>
              <w:bottom w:val="nil"/>
              <w:right w:val="nil"/>
            </w:tcBorders>
            <w:shd w:val="clear" w:color="000000" w:fill="D9E1F2"/>
            <w:noWrap/>
            <w:vAlign w:val="bottom"/>
            <w:hideMark/>
          </w:tcPr>
          <w:p w14:paraId="1674ADA7"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2.82</w:t>
            </w:r>
          </w:p>
        </w:tc>
        <w:tc>
          <w:tcPr>
            <w:tcW w:w="960" w:type="dxa"/>
            <w:tcBorders>
              <w:top w:val="nil"/>
              <w:left w:val="nil"/>
              <w:bottom w:val="nil"/>
              <w:right w:val="single" w:sz="4" w:space="0" w:color="auto"/>
            </w:tcBorders>
            <w:shd w:val="clear" w:color="000000" w:fill="D9E1F2"/>
            <w:noWrap/>
            <w:vAlign w:val="bottom"/>
            <w:hideMark/>
          </w:tcPr>
          <w:p w14:paraId="1536AD5F"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-0.02</w:t>
            </w:r>
          </w:p>
        </w:tc>
        <w:tc>
          <w:tcPr>
            <w:tcW w:w="960" w:type="dxa"/>
            <w:tcBorders>
              <w:top w:val="nil"/>
              <w:left w:val="nil"/>
              <w:bottom w:val="nil"/>
              <w:right w:val="nil"/>
            </w:tcBorders>
            <w:shd w:val="clear" w:color="000000" w:fill="D9E1F2"/>
            <w:noWrap/>
            <w:vAlign w:val="bottom"/>
            <w:hideMark/>
          </w:tcPr>
          <w:p w14:paraId="6DA5D6D9"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0.97</w:t>
            </w:r>
          </w:p>
        </w:tc>
        <w:tc>
          <w:tcPr>
            <w:tcW w:w="960" w:type="dxa"/>
            <w:tcBorders>
              <w:top w:val="nil"/>
              <w:left w:val="nil"/>
              <w:bottom w:val="nil"/>
              <w:right w:val="nil"/>
            </w:tcBorders>
            <w:shd w:val="clear" w:color="000000" w:fill="D9E1F2"/>
            <w:noWrap/>
            <w:vAlign w:val="bottom"/>
            <w:hideMark/>
          </w:tcPr>
          <w:p w14:paraId="0E302BA9"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-0.01</w:t>
            </w:r>
          </w:p>
        </w:tc>
        <w:tc>
          <w:tcPr>
            <w:tcW w:w="960" w:type="dxa"/>
            <w:tcBorders>
              <w:top w:val="nil"/>
              <w:left w:val="single" w:sz="4" w:space="0" w:color="auto"/>
              <w:bottom w:val="nil"/>
              <w:right w:val="single" w:sz="4" w:space="0" w:color="auto"/>
            </w:tcBorders>
            <w:shd w:val="clear" w:color="000000" w:fill="D9E1F2"/>
            <w:noWrap/>
            <w:vAlign w:val="bottom"/>
            <w:hideMark/>
          </w:tcPr>
          <w:p w14:paraId="6907AA5D" w14:textId="77777777" w:rsidR="001A3F23" w:rsidRPr="001A3F23" w:rsidRDefault="001A3F23" w:rsidP="001A3F23">
            <w:pPr>
              <w:keepNext/>
              <w:jc w:val="center"/>
              <w:rPr>
                <w:rFonts w:cs="Calibri"/>
                <w:sz w:val="22"/>
                <w:szCs w:val="22"/>
              </w:rPr>
            </w:pPr>
            <w:r w:rsidRPr="001A3F23">
              <w:rPr>
                <w:rFonts w:cs="Calibri"/>
                <w:sz w:val="22"/>
                <w:szCs w:val="22"/>
              </w:rPr>
              <w:t>-0.7%</w:t>
            </w:r>
          </w:p>
        </w:tc>
        <w:tc>
          <w:tcPr>
            <w:tcW w:w="960" w:type="dxa"/>
            <w:tcBorders>
              <w:top w:val="nil"/>
              <w:left w:val="nil"/>
              <w:bottom w:val="nil"/>
              <w:right w:val="single" w:sz="4" w:space="0" w:color="auto"/>
            </w:tcBorders>
            <w:shd w:val="clear" w:color="000000" w:fill="D9E1F2"/>
            <w:noWrap/>
            <w:vAlign w:val="bottom"/>
            <w:hideMark/>
          </w:tcPr>
          <w:p w14:paraId="661FA5EC" w14:textId="77777777" w:rsidR="001A3F23" w:rsidRPr="001A3F23" w:rsidRDefault="001A3F23" w:rsidP="001A3F23">
            <w:pPr>
              <w:keepNext/>
              <w:jc w:val="center"/>
              <w:rPr>
                <w:rFonts w:cs="Calibri"/>
                <w:sz w:val="22"/>
                <w:szCs w:val="22"/>
              </w:rPr>
            </w:pPr>
            <w:r w:rsidRPr="001A3F23">
              <w:rPr>
                <w:rFonts w:cs="Calibri"/>
                <w:sz w:val="22"/>
                <w:szCs w:val="22"/>
              </w:rPr>
              <w:t>65</w:t>
            </w:r>
          </w:p>
        </w:tc>
      </w:tr>
      <w:tr w:rsidR="001A3F23" w:rsidRPr="001A3F23" w14:paraId="49B71FD6" w14:textId="77777777" w:rsidTr="00FC5EF2">
        <w:trPr>
          <w:trHeight w:val="20"/>
          <w:jc w:val="center"/>
        </w:trPr>
        <w:tc>
          <w:tcPr>
            <w:tcW w:w="1200" w:type="dxa"/>
            <w:tcBorders>
              <w:top w:val="nil"/>
              <w:left w:val="single" w:sz="4" w:space="0" w:color="auto"/>
              <w:bottom w:val="nil"/>
              <w:right w:val="nil"/>
            </w:tcBorders>
            <w:shd w:val="clear" w:color="000000" w:fill="D9E1F2"/>
            <w:noWrap/>
            <w:vAlign w:val="bottom"/>
            <w:hideMark/>
          </w:tcPr>
          <w:p w14:paraId="4D997D1F"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Dec-16</w:t>
            </w:r>
          </w:p>
        </w:tc>
        <w:tc>
          <w:tcPr>
            <w:tcW w:w="960" w:type="dxa"/>
            <w:tcBorders>
              <w:top w:val="nil"/>
              <w:left w:val="single" w:sz="4" w:space="0" w:color="auto"/>
              <w:bottom w:val="nil"/>
              <w:right w:val="single" w:sz="4" w:space="0" w:color="auto"/>
            </w:tcBorders>
            <w:shd w:val="clear" w:color="000000" w:fill="D9E1F2"/>
            <w:noWrap/>
            <w:vAlign w:val="bottom"/>
            <w:hideMark/>
          </w:tcPr>
          <w:p w14:paraId="1461ECE6" w14:textId="77777777" w:rsidR="001A3F23" w:rsidRPr="001A3F23" w:rsidRDefault="001A3F23" w:rsidP="001A3F23">
            <w:pPr>
              <w:keepNext/>
              <w:jc w:val="center"/>
              <w:rPr>
                <w:rFonts w:cs="Calibri"/>
                <w:sz w:val="22"/>
                <w:szCs w:val="22"/>
              </w:rPr>
            </w:pPr>
            <w:r w:rsidRPr="001A3F23">
              <w:rPr>
                <w:rFonts w:cs="Calibri"/>
                <w:sz w:val="22"/>
                <w:szCs w:val="22"/>
              </w:rPr>
              <w:t>All</w:t>
            </w:r>
          </w:p>
        </w:tc>
        <w:tc>
          <w:tcPr>
            <w:tcW w:w="960" w:type="dxa"/>
            <w:tcBorders>
              <w:top w:val="nil"/>
              <w:left w:val="nil"/>
              <w:bottom w:val="nil"/>
              <w:right w:val="single" w:sz="4" w:space="0" w:color="auto"/>
            </w:tcBorders>
            <w:shd w:val="clear" w:color="000000" w:fill="D9E1F2"/>
            <w:noWrap/>
            <w:vAlign w:val="bottom"/>
            <w:hideMark/>
          </w:tcPr>
          <w:p w14:paraId="0BC9F6D8"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3,053</w:t>
            </w:r>
          </w:p>
        </w:tc>
        <w:tc>
          <w:tcPr>
            <w:tcW w:w="960" w:type="dxa"/>
            <w:tcBorders>
              <w:top w:val="nil"/>
              <w:left w:val="nil"/>
              <w:bottom w:val="nil"/>
              <w:right w:val="nil"/>
            </w:tcBorders>
            <w:shd w:val="clear" w:color="000000" w:fill="D9E1F2"/>
            <w:noWrap/>
            <w:vAlign w:val="bottom"/>
            <w:hideMark/>
          </w:tcPr>
          <w:p w14:paraId="5E0F744A"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3.29</w:t>
            </w:r>
          </w:p>
        </w:tc>
        <w:tc>
          <w:tcPr>
            <w:tcW w:w="960" w:type="dxa"/>
            <w:tcBorders>
              <w:top w:val="nil"/>
              <w:left w:val="nil"/>
              <w:bottom w:val="nil"/>
              <w:right w:val="single" w:sz="4" w:space="0" w:color="auto"/>
            </w:tcBorders>
            <w:shd w:val="clear" w:color="000000" w:fill="D9E1F2"/>
            <w:noWrap/>
            <w:vAlign w:val="bottom"/>
            <w:hideMark/>
          </w:tcPr>
          <w:p w14:paraId="11ED2117"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0.11</w:t>
            </w:r>
          </w:p>
        </w:tc>
        <w:tc>
          <w:tcPr>
            <w:tcW w:w="960" w:type="dxa"/>
            <w:tcBorders>
              <w:top w:val="nil"/>
              <w:left w:val="nil"/>
              <w:bottom w:val="nil"/>
              <w:right w:val="nil"/>
            </w:tcBorders>
            <w:shd w:val="clear" w:color="000000" w:fill="D9E1F2"/>
            <w:noWrap/>
            <w:vAlign w:val="bottom"/>
            <w:hideMark/>
          </w:tcPr>
          <w:p w14:paraId="511B198A"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1.08</w:t>
            </w:r>
          </w:p>
        </w:tc>
        <w:tc>
          <w:tcPr>
            <w:tcW w:w="960" w:type="dxa"/>
            <w:tcBorders>
              <w:top w:val="nil"/>
              <w:left w:val="nil"/>
              <w:bottom w:val="nil"/>
              <w:right w:val="nil"/>
            </w:tcBorders>
            <w:shd w:val="clear" w:color="000000" w:fill="D9E1F2"/>
            <w:noWrap/>
            <w:vAlign w:val="bottom"/>
            <w:hideMark/>
          </w:tcPr>
          <w:p w14:paraId="17AFA717"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0.04</w:t>
            </w:r>
          </w:p>
        </w:tc>
        <w:tc>
          <w:tcPr>
            <w:tcW w:w="960" w:type="dxa"/>
            <w:tcBorders>
              <w:top w:val="nil"/>
              <w:left w:val="single" w:sz="4" w:space="0" w:color="auto"/>
              <w:bottom w:val="nil"/>
              <w:right w:val="single" w:sz="4" w:space="0" w:color="auto"/>
            </w:tcBorders>
            <w:shd w:val="clear" w:color="000000" w:fill="D9E1F2"/>
            <w:noWrap/>
            <w:vAlign w:val="bottom"/>
            <w:hideMark/>
          </w:tcPr>
          <w:p w14:paraId="48A9DCAB" w14:textId="77777777" w:rsidR="001A3F23" w:rsidRPr="001A3F23" w:rsidRDefault="001A3F23" w:rsidP="001A3F23">
            <w:pPr>
              <w:keepNext/>
              <w:jc w:val="center"/>
              <w:rPr>
                <w:rFonts w:cs="Calibri"/>
                <w:sz w:val="22"/>
                <w:szCs w:val="22"/>
              </w:rPr>
            </w:pPr>
            <w:r w:rsidRPr="001A3F23">
              <w:rPr>
                <w:rFonts w:cs="Calibri"/>
                <w:sz w:val="22"/>
                <w:szCs w:val="22"/>
              </w:rPr>
              <w:t>3.3%</w:t>
            </w:r>
          </w:p>
        </w:tc>
        <w:tc>
          <w:tcPr>
            <w:tcW w:w="960" w:type="dxa"/>
            <w:tcBorders>
              <w:top w:val="nil"/>
              <w:left w:val="nil"/>
              <w:bottom w:val="nil"/>
              <w:right w:val="single" w:sz="4" w:space="0" w:color="auto"/>
            </w:tcBorders>
            <w:shd w:val="clear" w:color="000000" w:fill="D9E1F2"/>
            <w:noWrap/>
            <w:vAlign w:val="bottom"/>
            <w:hideMark/>
          </w:tcPr>
          <w:p w14:paraId="3783789E" w14:textId="77777777" w:rsidR="001A3F23" w:rsidRPr="001A3F23" w:rsidRDefault="001A3F23" w:rsidP="001A3F23">
            <w:pPr>
              <w:keepNext/>
              <w:jc w:val="center"/>
              <w:rPr>
                <w:rFonts w:cs="Calibri"/>
                <w:sz w:val="22"/>
                <w:szCs w:val="22"/>
              </w:rPr>
            </w:pPr>
            <w:r w:rsidRPr="001A3F23">
              <w:rPr>
                <w:rFonts w:cs="Calibri"/>
                <w:sz w:val="22"/>
                <w:szCs w:val="22"/>
              </w:rPr>
              <w:t>59</w:t>
            </w:r>
          </w:p>
        </w:tc>
      </w:tr>
      <w:tr w:rsidR="001A3F23" w:rsidRPr="001A3F23" w14:paraId="597A78A4" w14:textId="77777777" w:rsidTr="00FC5EF2">
        <w:trPr>
          <w:trHeight w:val="20"/>
          <w:jc w:val="center"/>
        </w:trPr>
        <w:tc>
          <w:tcPr>
            <w:tcW w:w="1200" w:type="dxa"/>
            <w:tcBorders>
              <w:top w:val="nil"/>
              <w:left w:val="single" w:sz="4" w:space="0" w:color="auto"/>
              <w:bottom w:val="nil"/>
              <w:right w:val="nil"/>
            </w:tcBorders>
            <w:shd w:val="clear" w:color="000000" w:fill="D9E1F2"/>
            <w:noWrap/>
            <w:vAlign w:val="bottom"/>
            <w:hideMark/>
          </w:tcPr>
          <w:p w14:paraId="114D37CD"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Jan-17</w:t>
            </w:r>
          </w:p>
        </w:tc>
        <w:tc>
          <w:tcPr>
            <w:tcW w:w="960" w:type="dxa"/>
            <w:tcBorders>
              <w:top w:val="nil"/>
              <w:left w:val="single" w:sz="4" w:space="0" w:color="auto"/>
              <w:bottom w:val="nil"/>
              <w:right w:val="single" w:sz="4" w:space="0" w:color="auto"/>
            </w:tcBorders>
            <w:shd w:val="clear" w:color="000000" w:fill="D9E1F2"/>
            <w:noWrap/>
            <w:vAlign w:val="bottom"/>
            <w:hideMark/>
          </w:tcPr>
          <w:p w14:paraId="5A626BE4" w14:textId="77777777" w:rsidR="001A3F23" w:rsidRPr="001A3F23" w:rsidRDefault="001A3F23" w:rsidP="001A3F23">
            <w:pPr>
              <w:keepNext/>
              <w:jc w:val="center"/>
              <w:rPr>
                <w:rFonts w:cs="Calibri"/>
                <w:sz w:val="22"/>
                <w:szCs w:val="22"/>
              </w:rPr>
            </w:pPr>
            <w:r w:rsidRPr="001A3F23">
              <w:rPr>
                <w:rFonts w:cs="Calibri"/>
                <w:sz w:val="22"/>
                <w:szCs w:val="22"/>
              </w:rPr>
              <w:t>All</w:t>
            </w:r>
          </w:p>
        </w:tc>
        <w:tc>
          <w:tcPr>
            <w:tcW w:w="960" w:type="dxa"/>
            <w:tcBorders>
              <w:top w:val="nil"/>
              <w:left w:val="nil"/>
              <w:bottom w:val="nil"/>
              <w:right w:val="nil"/>
            </w:tcBorders>
            <w:shd w:val="clear" w:color="000000" w:fill="D9E1F2"/>
            <w:noWrap/>
            <w:vAlign w:val="bottom"/>
            <w:hideMark/>
          </w:tcPr>
          <w:p w14:paraId="0CD2016B"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3,251</w:t>
            </w:r>
          </w:p>
        </w:tc>
        <w:tc>
          <w:tcPr>
            <w:tcW w:w="960" w:type="dxa"/>
            <w:tcBorders>
              <w:top w:val="nil"/>
              <w:left w:val="single" w:sz="4" w:space="0" w:color="auto"/>
              <w:bottom w:val="nil"/>
              <w:right w:val="nil"/>
            </w:tcBorders>
            <w:shd w:val="clear" w:color="000000" w:fill="D9E1F2"/>
            <w:noWrap/>
            <w:vAlign w:val="bottom"/>
            <w:hideMark/>
          </w:tcPr>
          <w:p w14:paraId="6F8D1573"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3.37</w:t>
            </w:r>
          </w:p>
        </w:tc>
        <w:tc>
          <w:tcPr>
            <w:tcW w:w="960" w:type="dxa"/>
            <w:tcBorders>
              <w:top w:val="nil"/>
              <w:left w:val="nil"/>
              <w:bottom w:val="nil"/>
              <w:right w:val="single" w:sz="4" w:space="0" w:color="auto"/>
            </w:tcBorders>
            <w:shd w:val="clear" w:color="000000" w:fill="D9E1F2"/>
            <w:noWrap/>
            <w:vAlign w:val="bottom"/>
            <w:hideMark/>
          </w:tcPr>
          <w:p w14:paraId="127CC3BB"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0.08</w:t>
            </w:r>
          </w:p>
        </w:tc>
        <w:tc>
          <w:tcPr>
            <w:tcW w:w="960" w:type="dxa"/>
            <w:tcBorders>
              <w:top w:val="nil"/>
              <w:left w:val="nil"/>
              <w:bottom w:val="nil"/>
              <w:right w:val="nil"/>
            </w:tcBorders>
            <w:shd w:val="clear" w:color="000000" w:fill="D9E1F2"/>
            <w:noWrap/>
            <w:vAlign w:val="bottom"/>
            <w:hideMark/>
          </w:tcPr>
          <w:p w14:paraId="576DA696"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1.04</w:t>
            </w:r>
          </w:p>
        </w:tc>
        <w:tc>
          <w:tcPr>
            <w:tcW w:w="960" w:type="dxa"/>
            <w:tcBorders>
              <w:top w:val="nil"/>
              <w:left w:val="nil"/>
              <w:bottom w:val="nil"/>
              <w:right w:val="nil"/>
            </w:tcBorders>
            <w:shd w:val="clear" w:color="000000" w:fill="D9E1F2"/>
            <w:noWrap/>
            <w:vAlign w:val="bottom"/>
            <w:hideMark/>
          </w:tcPr>
          <w:p w14:paraId="249CB78A"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0.03</w:t>
            </w:r>
          </w:p>
        </w:tc>
        <w:tc>
          <w:tcPr>
            <w:tcW w:w="960" w:type="dxa"/>
            <w:tcBorders>
              <w:top w:val="nil"/>
              <w:left w:val="single" w:sz="4" w:space="0" w:color="auto"/>
              <w:bottom w:val="nil"/>
              <w:right w:val="single" w:sz="4" w:space="0" w:color="auto"/>
            </w:tcBorders>
            <w:shd w:val="clear" w:color="000000" w:fill="D9E1F2"/>
            <w:noWrap/>
            <w:vAlign w:val="bottom"/>
            <w:hideMark/>
          </w:tcPr>
          <w:p w14:paraId="2B39E3F4" w14:textId="77777777" w:rsidR="001A3F23" w:rsidRPr="001A3F23" w:rsidRDefault="001A3F23" w:rsidP="001A3F23">
            <w:pPr>
              <w:keepNext/>
              <w:jc w:val="center"/>
              <w:rPr>
                <w:rFonts w:cs="Calibri"/>
                <w:sz w:val="22"/>
                <w:szCs w:val="22"/>
              </w:rPr>
            </w:pPr>
            <w:r w:rsidRPr="001A3F23">
              <w:rPr>
                <w:rFonts w:cs="Calibri"/>
                <w:sz w:val="22"/>
                <w:szCs w:val="22"/>
              </w:rPr>
              <w:t>2.5%</w:t>
            </w:r>
          </w:p>
        </w:tc>
        <w:tc>
          <w:tcPr>
            <w:tcW w:w="960" w:type="dxa"/>
            <w:tcBorders>
              <w:top w:val="nil"/>
              <w:left w:val="nil"/>
              <w:bottom w:val="nil"/>
              <w:right w:val="single" w:sz="4" w:space="0" w:color="auto"/>
            </w:tcBorders>
            <w:shd w:val="clear" w:color="000000" w:fill="D9E1F2"/>
            <w:noWrap/>
            <w:vAlign w:val="bottom"/>
            <w:hideMark/>
          </w:tcPr>
          <w:p w14:paraId="66EAD1AB" w14:textId="77777777" w:rsidR="001A3F23" w:rsidRPr="001A3F23" w:rsidRDefault="001A3F23" w:rsidP="001A3F23">
            <w:pPr>
              <w:keepNext/>
              <w:jc w:val="center"/>
              <w:rPr>
                <w:rFonts w:cs="Calibri"/>
                <w:sz w:val="22"/>
                <w:szCs w:val="22"/>
              </w:rPr>
            </w:pPr>
            <w:r w:rsidRPr="001A3F23">
              <w:rPr>
                <w:rFonts w:cs="Calibri"/>
                <w:sz w:val="22"/>
                <w:szCs w:val="22"/>
              </w:rPr>
              <w:t>56</w:t>
            </w:r>
          </w:p>
        </w:tc>
      </w:tr>
      <w:tr w:rsidR="001A3F23" w:rsidRPr="001A3F23" w14:paraId="6C3AC3EC" w14:textId="77777777" w:rsidTr="00FC5EF2">
        <w:trPr>
          <w:trHeight w:val="20"/>
          <w:jc w:val="center"/>
        </w:trPr>
        <w:tc>
          <w:tcPr>
            <w:tcW w:w="1200" w:type="dxa"/>
            <w:tcBorders>
              <w:top w:val="nil"/>
              <w:left w:val="single" w:sz="4" w:space="0" w:color="auto"/>
              <w:bottom w:val="nil"/>
              <w:right w:val="nil"/>
            </w:tcBorders>
            <w:shd w:val="clear" w:color="000000" w:fill="D9E1F2"/>
            <w:noWrap/>
            <w:vAlign w:val="bottom"/>
            <w:hideMark/>
          </w:tcPr>
          <w:p w14:paraId="4A731E85"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Feb-17</w:t>
            </w:r>
          </w:p>
        </w:tc>
        <w:tc>
          <w:tcPr>
            <w:tcW w:w="960" w:type="dxa"/>
            <w:tcBorders>
              <w:top w:val="nil"/>
              <w:left w:val="single" w:sz="4" w:space="0" w:color="auto"/>
              <w:bottom w:val="nil"/>
              <w:right w:val="single" w:sz="4" w:space="0" w:color="auto"/>
            </w:tcBorders>
            <w:shd w:val="clear" w:color="000000" w:fill="D9E1F2"/>
            <w:noWrap/>
            <w:vAlign w:val="bottom"/>
            <w:hideMark/>
          </w:tcPr>
          <w:p w14:paraId="3D66A038" w14:textId="77777777" w:rsidR="001A3F23" w:rsidRPr="001A3F23" w:rsidRDefault="001A3F23" w:rsidP="001A3F23">
            <w:pPr>
              <w:keepNext/>
              <w:jc w:val="center"/>
              <w:rPr>
                <w:rFonts w:cs="Calibri"/>
                <w:sz w:val="22"/>
                <w:szCs w:val="22"/>
              </w:rPr>
            </w:pPr>
            <w:r w:rsidRPr="001A3F23">
              <w:rPr>
                <w:rFonts w:cs="Calibri"/>
                <w:sz w:val="22"/>
                <w:szCs w:val="22"/>
              </w:rPr>
              <w:t>All</w:t>
            </w:r>
          </w:p>
        </w:tc>
        <w:tc>
          <w:tcPr>
            <w:tcW w:w="960" w:type="dxa"/>
            <w:tcBorders>
              <w:top w:val="nil"/>
              <w:left w:val="nil"/>
              <w:bottom w:val="nil"/>
              <w:right w:val="nil"/>
            </w:tcBorders>
            <w:shd w:val="clear" w:color="000000" w:fill="D9E1F2"/>
            <w:noWrap/>
            <w:vAlign w:val="bottom"/>
            <w:hideMark/>
          </w:tcPr>
          <w:p w14:paraId="251D5E42"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3,466</w:t>
            </w:r>
          </w:p>
        </w:tc>
        <w:tc>
          <w:tcPr>
            <w:tcW w:w="960" w:type="dxa"/>
            <w:tcBorders>
              <w:top w:val="nil"/>
              <w:left w:val="single" w:sz="4" w:space="0" w:color="auto"/>
              <w:bottom w:val="nil"/>
              <w:right w:val="nil"/>
            </w:tcBorders>
            <w:shd w:val="clear" w:color="000000" w:fill="D9E1F2"/>
            <w:noWrap/>
            <w:vAlign w:val="bottom"/>
            <w:hideMark/>
          </w:tcPr>
          <w:p w14:paraId="72B5E29D"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3.30</w:t>
            </w:r>
          </w:p>
        </w:tc>
        <w:tc>
          <w:tcPr>
            <w:tcW w:w="960" w:type="dxa"/>
            <w:tcBorders>
              <w:top w:val="nil"/>
              <w:left w:val="nil"/>
              <w:bottom w:val="nil"/>
              <w:right w:val="single" w:sz="4" w:space="0" w:color="auto"/>
            </w:tcBorders>
            <w:shd w:val="clear" w:color="000000" w:fill="D9E1F2"/>
            <w:noWrap/>
            <w:vAlign w:val="bottom"/>
            <w:hideMark/>
          </w:tcPr>
          <w:p w14:paraId="46C39CAB"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0.17</w:t>
            </w:r>
          </w:p>
        </w:tc>
        <w:tc>
          <w:tcPr>
            <w:tcW w:w="960" w:type="dxa"/>
            <w:tcBorders>
              <w:top w:val="nil"/>
              <w:left w:val="nil"/>
              <w:bottom w:val="nil"/>
              <w:right w:val="nil"/>
            </w:tcBorders>
            <w:shd w:val="clear" w:color="000000" w:fill="D9E1F2"/>
            <w:noWrap/>
            <w:vAlign w:val="bottom"/>
            <w:hideMark/>
          </w:tcPr>
          <w:p w14:paraId="595E1ADF"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0.95</w:t>
            </w:r>
          </w:p>
        </w:tc>
        <w:tc>
          <w:tcPr>
            <w:tcW w:w="960" w:type="dxa"/>
            <w:tcBorders>
              <w:top w:val="nil"/>
              <w:left w:val="nil"/>
              <w:bottom w:val="nil"/>
              <w:right w:val="nil"/>
            </w:tcBorders>
            <w:shd w:val="clear" w:color="000000" w:fill="D9E1F2"/>
            <w:noWrap/>
            <w:vAlign w:val="bottom"/>
            <w:hideMark/>
          </w:tcPr>
          <w:p w14:paraId="0A39B32F"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0.05</w:t>
            </w:r>
          </w:p>
        </w:tc>
        <w:tc>
          <w:tcPr>
            <w:tcW w:w="960" w:type="dxa"/>
            <w:tcBorders>
              <w:top w:val="nil"/>
              <w:left w:val="single" w:sz="4" w:space="0" w:color="auto"/>
              <w:bottom w:val="nil"/>
              <w:right w:val="single" w:sz="4" w:space="0" w:color="auto"/>
            </w:tcBorders>
            <w:shd w:val="clear" w:color="000000" w:fill="D9E1F2"/>
            <w:noWrap/>
            <w:vAlign w:val="bottom"/>
            <w:hideMark/>
          </w:tcPr>
          <w:p w14:paraId="629BC134" w14:textId="77777777" w:rsidR="001A3F23" w:rsidRPr="001A3F23" w:rsidRDefault="001A3F23" w:rsidP="001A3F23">
            <w:pPr>
              <w:keepNext/>
              <w:jc w:val="center"/>
              <w:rPr>
                <w:rFonts w:cs="Calibri"/>
                <w:sz w:val="22"/>
                <w:szCs w:val="22"/>
              </w:rPr>
            </w:pPr>
            <w:r w:rsidRPr="001A3F23">
              <w:rPr>
                <w:rFonts w:cs="Calibri"/>
                <w:sz w:val="22"/>
                <w:szCs w:val="22"/>
              </w:rPr>
              <w:t>5.2%</w:t>
            </w:r>
          </w:p>
        </w:tc>
        <w:tc>
          <w:tcPr>
            <w:tcW w:w="960" w:type="dxa"/>
            <w:tcBorders>
              <w:top w:val="nil"/>
              <w:left w:val="nil"/>
              <w:bottom w:val="nil"/>
              <w:right w:val="single" w:sz="4" w:space="0" w:color="auto"/>
            </w:tcBorders>
            <w:shd w:val="clear" w:color="000000" w:fill="D9E1F2"/>
            <w:noWrap/>
            <w:vAlign w:val="bottom"/>
            <w:hideMark/>
          </w:tcPr>
          <w:p w14:paraId="0C4FCB66" w14:textId="77777777" w:rsidR="001A3F23" w:rsidRPr="001A3F23" w:rsidRDefault="001A3F23" w:rsidP="001A3F23">
            <w:pPr>
              <w:keepNext/>
              <w:jc w:val="center"/>
              <w:rPr>
                <w:rFonts w:cs="Calibri"/>
                <w:sz w:val="22"/>
                <w:szCs w:val="22"/>
              </w:rPr>
            </w:pPr>
            <w:r w:rsidRPr="001A3F23">
              <w:rPr>
                <w:rFonts w:cs="Calibri"/>
                <w:sz w:val="22"/>
                <w:szCs w:val="22"/>
              </w:rPr>
              <w:t>59</w:t>
            </w:r>
          </w:p>
        </w:tc>
      </w:tr>
      <w:tr w:rsidR="001A3F23" w:rsidRPr="001A3F23" w14:paraId="5ED68A35" w14:textId="77777777" w:rsidTr="00FC5EF2">
        <w:trPr>
          <w:trHeight w:val="20"/>
          <w:jc w:val="center"/>
        </w:trPr>
        <w:tc>
          <w:tcPr>
            <w:tcW w:w="1200" w:type="dxa"/>
            <w:tcBorders>
              <w:top w:val="nil"/>
              <w:left w:val="single" w:sz="4" w:space="0" w:color="auto"/>
              <w:bottom w:val="nil"/>
              <w:right w:val="nil"/>
            </w:tcBorders>
            <w:shd w:val="clear" w:color="000000" w:fill="D9E1F2"/>
            <w:noWrap/>
            <w:vAlign w:val="bottom"/>
            <w:hideMark/>
          </w:tcPr>
          <w:p w14:paraId="257B1398"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Mar-17</w:t>
            </w:r>
          </w:p>
        </w:tc>
        <w:tc>
          <w:tcPr>
            <w:tcW w:w="960" w:type="dxa"/>
            <w:tcBorders>
              <w:top w:val="nil"/>
              <w:left w:val="single" w:sz="4" w:space="0" w:color="auto"/>
              <w:bottom w:val="nil"/>
              <w:right w:val="single" w:sz="4" w:space="0" w:color="auto"/>
            </w:tcBorders>
            <w:shd w:val="clear" w:color="000000" w:fill="D9E1F2"/>
            <w:noWrap/>
            <w:vAlign w:val="bottom"/>
            <w:hideMark/>
          </w:tcPr>
          <w:p w14:paraId="7DAB868E" w14:textId="77777777" w:rsidR="001A3F23" w:rsidRPr="001A3F23" w:rsidRDefault="001A3F23" w:rsidP="001A3F23">
            <w:pPr>
              <w:keepNext/>
              <w:jc w:val="center"/>
              <w:rPr>
                <w:rFonts w:cs="Calibri"/>
                <w:sz w:val="22"/>
                <w:szCs w:val="22"/>
              </w:rPr>
            </w:pPr>
            <w:r w:rsidRPr="001A3F23">
              <w:rPr>
                <w:rFonts w:cs="Calibri"/>
                <w:sz w:val="22"/>
                <w:szCs w:val="22"/>
              </w:rPr>
              <w:t>All</w:t>
            </w:r>
          </w:p>
        </w:tc>
        <w:tc>
          <w:tcPr>
            <w:tcW w:w="960" w:type="dxa"/>
            <w:tcBorders>
              <w:top w:val="nil"/>
              <w:left w:val="nil"/>
              <w:bottom w:val="nil"/>
              <w:right w:val="nil"/>
            </w:tcBorders>
            <w:shd w:val="clear" w:color="000000" w:fill="D9E1F2"/>
            <w:noWrap/>
            <w:vAlign w:val="bottom"/>
            <w:hideMark/>
          </w:tcPr>
          <w:p w14:paraId="3855FBB5"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3,743</w:t>
            </w:r>
          </w:p>
        </w:tc>
        <w:tc>
          <w:tcPr>
            <w:tcW w:w="960" w:type="dxa"/>
            <w:tcBorders>
              <w:top w:val="nil"/>
              <w:left w:val="single" w:sz="4" w:space="0" w:color="auto"/>
              <w:bottom w:val="nil"/>
              <w:right w:val="nil"/>
            </w:tcBorders>
            <w:shd w:val="clear" w:color="000000" w:fill="D9E1F2"/>
            <w:noWrap/>
            <w:vAlign w:val="bottom"/>
            <w:hideMark/>
          </w:tcPr>
          <w:p w14:paraId="55A62DFD"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3.10</w:t>
            </w:r>
          </w:p>
        </w:tc>
        <w:tc>
          <w:tcPr>
            <w:tcW w:w="960" w:type="dxa"/>
            <w:tcBorders>
              <w:top w:val="nil"/>
              <w:left w:val="nil"/>
              <w:bottom w:val="nil"/>
              <w:right w:val="single" w:sz="4" w:space="0" w:color="auto"/>
            </w:tcBorders>
            <w:shd w:val="clear" w:color="000000" w:fill="D9E1F2"/>
            <w:noWrap/>
            <w:vAlign w:val="bottom"/>
            <w:hideMark/>
          </w:tcPr>
          <w:p w14:paraId="633F1794"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0.10</w:t>
            </w:r>
          </w:p>
        </w:tc>
        <w:tc>
          <w:tcPr>
            <w:tcW w:w="960" w:type="dxa"/>
            <w:tcBorders>
              <w:top w:val="nil"/>
              <w:left w:val="nil"/>
              <w:bottom w:val="nil"/>
              <w:right w:val="nil"/>
            </w:tcBorders>
            <w:shd w:val="clear" w:color="000000" w:fill="D9E1F2"/>
            <w:noWrap/>
            <w:vAlign w:val="bottom"/>
            <w:hideMark/>
          </w:tcPr>
          <w:p w14:paraId="06786C59"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0.83</w:t>
            </w:r>
          </w:p>
        </w:tc>
        <w:tc>
          <w:tcPr>
            <w:tcW w:w="960" w:type="dxa"/>
            <w:tcBorders>
              <w:top w:val="nil"/>
              <w:left w:val="nil"/>
              <w:bottom w:val="nil"/>
              <w:right w:val="nil"/>
            </w:tcBorders>
            <w:shd w:val="clear" w:color="000000" w:fill="D9E1F2"/>
            <w:noWrap/>
            <w:vAlign w:val="bottom"/>
            <w:hideMark/>
          </w:tcPr>
          <w:p w14:paraId="54E1552B"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0.03</w:t>
            </w:r>
          </w:p>
        </w:tc>
        <w:tc>
          <w:tcPr>
            <w:tcW w:w="960" w:type="dxa"/>
            <w:tcBorders>
              <w:top w:val="nil"/>
              <w:left w:val="single" w:sz="4" w:space="0" w:color="auto"/>
              <w:bottom w:val="nil"/>
              <w:right w:val="single" w:sz="4" w:space="0" w:color="auto"/>
            </w:tcBorders>
            <w:shd w:val="clear" w:color="000000" w:fill="D9E1F2"/>
            <w:noWrap/>
            <w:vAlign w:val="bottom"/>
            <w:hideMark/>
          </w:tcPr>
          <w:p w14:paraId="638D2D5B" w14:textId="77777777" w:rsidR="001A3F23" w:rsidRPr="001A3F23" w:rsidRDefault="001A3F23" w:rsidP="001A3F23">
            <w:pPr>
              <w:keepNext/>
              <w:jc w:val="center"/>
              <w:rPr>
                <w:rFonts w:cs="Calibri"/>
                <w:sz w:val="22"/>
                <w:szCs w:val="22"/>
              </w:rPr>
            </w:pPr>
            <w:r w:rsidRPr="001A3F23">
              <w:rPr>
                <w:rFonts w:cs="Calibri"/>
                <w:sz w:val="22"/>
                <w:szCs w:val="22"/>
              </w:rPr>
              <w:t>3.2%</w:t>
            </w:r>
          </w:p>
        </w:tc>
        <w:tc>
          <w:tcPr>
            <w:tcW w:w="960" w:type="dxa"/>
            <w:tcBorders>
              <w:top w:val="nil"/>
              <w:left w:val="nil"/>
              <w:bottom w:val="nil"/>
              <w:right w:val="single" w:sz="4" w:space="0" w:color="auto"/>
            </w:tcBorders>
            <w:shd w:val="clear" w:color="000000" w:fill="D9E1F2"/>
            <w:noWrap/>
            <w:vAlign w:val="bottom"/>
            <w:hideMark/>
          </w:tcPr>
          <w:p w14:paraId="3A11FAFD" w14:textId="77777777" w:rsidR="001A3F23" w:rsidRPr="001A3F23" w:rsidRDefault="001A3F23" w:rsidP="001A3F23">
            <w:pPr>
              <w:keepNext/>
              <w:jc w:val="center"/>
              <w:rPr>
                <w:rFonts w:cs="Calibri"/>
                <w:sz w:val="22"/>
                <w:szCs w:val="22"/>
              </w:rPr>
            </w:pPr>
            <w:r w:rsidRPr="001A3F23">
              <w:rPr>
                <w:rFonts w:cs="Calibri"/>
                <w:sz w:val="22"/>
                <w:szCs w:val="22"/>
              </w:rPr>
              <w:t>65</w:t>
            </w:r>
          </w:p>
        </w:tc>
      </w:tr>
      <w:tr w:rsidR="001A3F23" w:rsidRPr="001A3F23" w14:paraId="07E86BA5" w14:textId="77777777" w:rsidTr="00FC5EF2">
        <w:trPr>
          <w:trHeight w:val="20"/>
          <w:jc w:val="center"/>
        </w:trPr>
        <w:tc>
          <w:tcPr>
            <w:tcW w:w="1200" w:type="dxa"/>
            <w:tcBorders>
              <w:top w:val="nil"/>
              <w:left w:val="single" w:sz="4" w:space="0" w:color="auto"/>
              <w:bottom w:val="single" w:sz="4" w:space="0" w:color="auto"/>
              <w:right w:val="nil"/>
            </w:tcBorders>
            <w:shd w:val="clear" w:color="000000" w:fill="D9E1F2"/>
            <w:noWrap/>
            <w:vAlign w:val="bottom"/>
            <w:hideMark/>
          </w:tcPr>
          <w:p w14:paraId="67810C56"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Apr-17</w:t>
            </w:r>
          </w:p>
        </w:tc>
        <w:tc>
          <w:tcPr>
            <w:tcW w:w="960" w:type="dxa"/>
            <w:tcBorders>
              <w:top w:val="nil"/>
              <w:left w:val="single" w:sz="4" w:space="0" w:color="auto"/>
              <w:bottom w:val="single" w:sz="4" w:space="0" w:color="auto"/>
              <w:right w:val="single" w:sz="4" w:space="0" w:color="auto"/>
            </w:tcBorders>
            <w:shd w:val="clear" w:color="000000" w:fill="D9E1F2"/>
            <w:noWrap/>
            <w:vAlign w:val="bottom"/>
            <w:hideMark/>
          </w:tcPr>
          <w:p w14:paraId="5CC32D76" w14:textId="77777777" w:rsidR="001A3F23" w:rsidRPr="001A3F23" w:rsidRDefault="001A3F23" w:rsidP="001A3F23">
            <w:pPr>
              <w:keepNext/>
              <w:jc w:val="center"/>
              <w:rPr>
                <w:rFonts w:cs="Calibri"/>
                <w:sz w:val="22"/>
                <w:szCs w:val="22"/>
              </w:rPr>
            </w:pPr>
            <w:r w:rsidRPr="001A3F23">
              <w:rPr>
                <w:rFonts w:cs="Calibri"/>
                <w:sz w:val="22"/>
                <w:szCs w:val="22"/>
              </w:rPr>
              <w:t>All</w:t>
            </w:r>
          </w:p>
        </w:tc>
        <w:tc>
          <w:tcPr>
            <w:tcW w:w="960" w:type="dxa"/>
            <w:tcBorders>
              <w:top w:val="nil"/>
              <w:left w:val="nil"/>
              <w:bottom w:val="single" w:sz="4" w:space="0" w:color="auto"/>
              <w:right w:val="nil"/>
            </w:tcBorders>
            <w:shd w:val="clear" w:color="000000" w:fill="D9E1F2"/>
            <w:noWrap/>
            <w:vAlign w:val="bottom"/>
            <w:hideMark/>
          </w:tcPr>
          <w:p w14:paraId="46B3E920"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3,938</w:t>
            </w:r>
          </w:p>
        </w:tc>
        <w:tc>
          <w:tcPr>
            <w:tcW w:w="960" w:type="dxa"/>
            <w:tcBorders>
              <w:top w:val="nil"/>
              <w:left w:val="single" w:sz="4" w:space="0" w:color="auto"/>
              <w:bottom w:val="single" w:sz="4" w:space="0" w:color="auto"/>
              <w:right w:val="nil"/>
            </w:tcBorders>
            <w:shd w:val="clear" w:color="000000" w:fill="D9E1F2"/>
            <w:noWrap/>
            <w:vAlign w:val="bottom"/>
            <w:hideMark/>
          </w:tcPr>
          <w:p w14:paraId="7F03419E"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3.06</w:t>
            </w:r>
          </w:p>
        </w:tc>
        <w:tc>
          <w:tcPr>
            <w:tcW w:w="960" w:type="dxa"/>
            <w:tcBorders>
              <w:top w:val="nil"/>
              <w:left w:val="nil"/>
              <w:bottom w:val="single" w:sz="4" w:space="0" w:color="auto"/>
              <w:right w:val="single" w:sz="4" w:space="0" w:color="auto"/>
            </w:tcBorders>
            <w:shd w:val="clear" w:color="000000" w:fill="D9E1F2"/>
            <w:noWrap/>
            <w:vAlign w:val="bottom"/>
            <w:hideMark/>
          </w:tcPr>
          <w:p w14:paraId="3AF9582A"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0.07</w:t>
            </w:r>
          </w:p>
        </w:tc>
        <w:tc>
          <w:tcPr>
            <w:tcW w:w="960" w:type="dxa"/>
            <w:tcBorders>
              <w:top w:val="nil"/>
              <w:left w:val="nil"/>
              <w:bottom w:val="single" w:sz="4" w:space="0" w:color="auto"/>
              <w:right w:val="nil"/>
            </w:tcBorders>
            <w:shd w:val="clear" w:color="000000" w:fill="D9E1F2"/>
            <w:noWrap/>
            <w:vAlign w:val="bottom"/>
            <w:hideMark/>
          </w:tcPr>
          <w:p w14:paraId="0AB81036"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0.78</w:t>
            </w:r>
          </w:p>
        </w:tc>
        <w:tc>
          <w:tcPr>
            <w:tcW w:w="960" w:type="dxa"/>
            <w:tcBorders>
              <w:top w:val="nil"/>
              <w:left w:val="nil"/>
              <w:bottom w:val="single" w:sz="4" w:space="0" w:color="auto"/>
              <w:right w:val="nil"/>
            </w:tcBorders>
            <w:shd w:val="clear" w:color="000000" w:fill="D9E1F2"/>
            <w:noWrap/>
            <w:vAlign w:val="bottom"/>
            <w:hideMark/>
          </w:tcPr>
          <w:p w14:paraId="5252AFFF"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0.02</w:t>
            </w:r>
          </w:p>
        </w:tc>
        <w:tc>
          <w:tcPr>
            <w:tcW w:w="960" w:type="dxa"/>
            <w:tcBorders>
              <w:top w:val="nil"/>
              <w:left w:val="single" w:sz="4" w:space="0" w:color="auto"/>
              <w:bottom w:val="single" w:sz="4" w:space="0" w:color="auto"/>
              <w:right w:val="single" w:sz="4" w:space="0" w:color="auto"/>
            </w:tcBorders>
            <w:shd w:val="clear" w:color="000000" w:fill="D9E1F2"/>
            <w:noWrap/>
            <w:vAlign w:val="bottom"/>
            <w:hideMark/>
          </w:tcPr>
          <w:p w14:paraId="4936B54F" w14:textId="77777777" w:rsidR="001A3F23" w:rsidRPr="001A3F23" w:rsidRDefault="001A3F23" w:rsidP="001A3F23">
            <w:pPr>
              <w:keepNext/>
              <w:jc w:val="center"/>
              <w:rPr>
                <w:rFonts w:cs="Calibri"/>
                <w:sz w:val="22"/>
                <w:szCs w:val="22"/>
              </w:rPr>
            </w:pPr>
            <w:r w:rsidRPr="001A3F23">
              <w:rPr>
                <w:rFonts w:cs="Calibri"/>
                <w:sz w:val="22"/>
                <w:szCs w:val="22"/>
              </w:rPr>
              <w:t>2.2%</w:t>
            </w:r>
          </w:p>
        </w:tc>
        <w:tc>
          <w:tcPr>
            <w:tcW w:w="960" w:type="dxa"/>
            <w:tcBorders>
              <w:top w:val="nil"/>
              <w:left w:val="nil"/>
              <w:bottom w:val="single" w:sz="4" w:space="0" w:color="auto"/>
              <w:right w:val="single" w:sz="4" w:space="0" w:color="auto"/>
            </w:tcBorders>
            <w:shd w:val="clear" w:color="000000" w:fill="D9E1F2"/>
            <w:noWrap/>
            <w:vAlign w:val="bottom"/>
            <w:hideMark/>
          </w:tcPr>
          <w:p w14:paraId="52D67236" w14:textId="77777777" w:rsidR="001A3F23" w:rsidRPr="001A3F23" w:rsidRDefault="001A3F23" w:rsidP="001A3F23">
            <w:pPr>
              <w:keepNext/>
              <w:jc w:val="center"/>
              <w:rPr>
                <w:rFonts w:cs="Calibri"/>
                <w:sz w:val="22"/>
                <w:szCs w:val="22"/>
              </w:rPr>
            </w:pPr>
            <w:r w:rsidRPr="001A3F23">
              <w:rPr>
                <w:rFonts w:cs="Calibri"/>
                <w:sz w:val="22"/>
                <w:szCs w:val="22"/>
              </w:rPr>
              <w:t>67</w:t>
            </w:r>
          </w:p>
        </w:tc>
      </w:tr>
      <w:tr w:rsidR="001A3F23" w:rsidRPr="001A3F23" w14:paraId="789BA312" w14:textId="77777777" w:rsidTr="00FC5EF2">
        <w:trPr>
          <w:trHeight w:val="20"/>
          <w:jc w:val="center"/>
        </w:trPr>
        <w:tc>
          <w:tcPr>
            <w:tcW w:w="1200" w:type="dxa"/>
            <w:tcBorders>
              <w:top w:val="nil"/>
              <w:left w:val="single" w:sz="4" w:space="0" w:color="auto"/>
              <w:bottom w:val="nil"/>
              <w:right w:val="nil"/>
            </w:tcBorders>
            <w:shd w:val="clear" w:color="000000" w:fill="FFFFFF"/>
            <w:noWrap/>
            <w:vAlign w:val="bottom"/>
            <w:hideMark/>
          </w:tcPr>
          <w:p w14:paraId="7A764D3D"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May-17</w:t>
            </w:r>
          </w:p>
        </w:tc>
        <w:tc>
          <w:tcPr>
            <w:tcW w:w="960" w:type="dxa"/>
            <w:tcBorders>
              <w:top w:val="nil"/>
              <w:left w:val="single" w:sz="4" w:space="0" w:color="auto"/>
              <w:bottom w:val="nil"/>
              <w:right w:val="single" w:sz="4" w:space="0" w:color="auto"/>
            </w:tcBorders>
            <w:shd w:val="clear" w:color="000000" w:fill="FFFFFF"/>
            <w:noWrap/>
            <w:vAlign w:val="bottom"/>
            <w:hideMark/>
          </w:tcPr>
          <w:p w14:paraId="277E151F" w14:textId="77777777" w:rsidR="001A3F23" w:rsidRPr="001A3F23" w:rsidRDefault="001A3F23" w:rsidP="001A3F23">
            <w:pPr>
              <w:keepNext/>
              <w:jc w:val="center"/>
              <w:rPr>
                <w:rFonts w:cs="Calibri"/>
                <w:sz w:val="22"/>
                <w:szCs w:val="22"/>
              </w:rPr>
            </w:pPr>
            <w:r w:rsidRPr="001A3F23">
              <w:rPr>
                <w:rFonts w:cs="Calibri"/>
                <w:sz w:val="22"/>
                <w:szCs w:val="22"/>
              </w:rPr>
              <w:t>All</w:t>
            </w:r>
          </w:p>
        </w:tc>
        <w:tc>
          <w:tcPr>
            <w:tcW w:w="960" w:type="dxa"/>
            <w:tcBorders>
              <w:top w:val="nil"/>
              <w:left w:val="nil"/>
              <w:bottom w:val="nil"/>
              <w:right w:val="nil"/>
            </w:tcBorders>
            <w:shd w:val="clear" w:color="000000" w:fill="FFFFFF"/>
            <w:noWrap/>
            <w:vAlign w:val="bottom"/>
            <w:hideMark/>
          </w:tcPr>
          <w:p w14:paraId="2AFD18C2"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4,091</w:t>
            </w:r>
          </w:p>
        </w:tc>
        <w:tc>
          <w:tcPr>
            <w:tcW w:w="960" w:type="dxa"/>
            <w:tcBorders>
              <w:top w:val="nil"/>
              <w:left w:val="single" w:sz="4" w:space="0" w:color="auto"/>
              <w:bottom w:val="nil"/>
              <w:right w:val="nil"/>
            </w:tcBorders>
            <w:shd w:val="clear" w:color="000000" w:fill="FFFFFF"/>
            <w:noWrap/>
            <w:vAlign w:val="bottom"/>
            <w:hideMark/>
          </w:tcPr>
          <w:p w14:paraId="4AABA3CA"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2.68</w:t>
            </w:r>
          </w:p>
        </w:tc>
        <w:tc>
          <w:tcPr>
            <w:tcW w:w="960" w:type="dxa"/>
            <w:tcBorders>
              <w:top w:val="nil"/>
              <w:left w:val="nil"/>
              <w:bottom w:val="nil"/>
              <w:right w:val="single" w:sz="4" w:space="0" w:color="auto"/>
            </w:tcBorders>
            <w:shd w:val="clear" w:color="000000" w:fill="FFFFFF"/>
            <w:noWrap/>
            <w:vAlign w:val="bottom"/>
            <w:hideMark/>
          </w:tcPr>
          <w:p w14:paraId="35B76A01"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0.20</w:t>
            </w:r>
          </w:p>
        </w:tc>
        <w:tc>
          <w:tcPr>
            <w:tcW w:w="960" w:type="dxa"/>
            <w:tcBorders>
              <w:top w:val="nil"/>
              <w:left w:val="nil"/>
              <w:bottom w:val="nil"/>
              <w:right w:val="nil"/>
            </w:tcBorders>
            <w:shd w:val="clear" w:color="000000" w:fill="FFFFFF"/>
            <w:noWrap/>
            <w:vAlign w:val="bottom"/>
            <w:hideMark/>
          </w:tcPr>
          <w:p w14:paraId="586A783C"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0.65</w:t>
            </w:r>
          </w:p>
        </w:tc>
        <w:tc>
          <w:tcPr>
            <w:tcW w:w="960" w:type="dxa"/>
            <w:tcBorders>
              <w:top w:val="nil"/>
              <w:left w:val="nil"/>
              <w:bottom w:val="nil"/>
              <w:right w:val="nil"/>
            </w:tcBorders>
            <w:shd w:val="clear" w:color="000000" w:fill="FFFFFF"/>
            <w:noWrap/>
            <w:vAlign w:val="bottom"/>
            <w:hideMark/>
          </w:tcPr>
          <w:p w14:paraId="079387C4"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0.05</w:t>
            </w:r>
          </w:p>
        </w:tc>
        <w:tc>
          <w:tcPr>
            <w:tcW w:w="960" w:type="dxa"/>
            <w:tcBorders>
              <w:top w:val="nil"/>
              <w:left w:val="single" w:sz="4" w:space="0" w:color="auto"/>
              <w:bottom w:val="nil"/>
              <w:right w:val="single" w:sz="4" w:space="0" w:color="auto"/>
            </w:tcBorders>
            <w:shd w:val="clear" w:color="000000" w:fill="FFFFFF"/>
            <w:noWrap/>
            <w:vAlign w:val="bottom"/>
            <w:hideMark/>
          </w:tcPr>
          <w:p w14:paraId="41CC283E" w14:textId="77777777" w:rsidR="001A3F23" w:rsidRPr="001A3F23" w:rsidRDefault="001A3F23" w:rsidP="001A3F23">
            <w:pPr>
              <w:keepNext/>
              <w:jc w:val="center"/>
              <w:rPr>
                <w:rFonts w:cs="Calibri"/>
                <w:sz w:val="22"/>
                <w:szCs w:val="22"/>
              </w:rPr>
            </w:pPr>
            <w:r w:rsidRPr="001A3F23">
              <w:rPr>
                <w:rFonts w:cs="Calibri"/>
                <w:sz w:val="22"/>
                <w:szCs w:val="22"/>
              </w:rPr>
              <w:t>7.3%</w:t>
            </w:r>
          </w:p>
        </w:tc>
        <w:tc>
          <w:tcPr>
            <w:tcW w:w="960" w:type="dxa"/>
            <w:tcBorders>
              <w:top w:val="nil"/>
              <w:left w:val="nil"/>
              <w:bottom w:val="nil"/>
              <w:right w:val="single" w:sz="4" w:space="0" w:color="auto"/>
            </w:tcBorders>
            <w:shd w:val="clear" w:color="000000" w:fill="FFFFFF"/>
            <w:noWrap/>
            <w:vAlign w:val="bottom"/>
            <w:hideMark/>
          </w:tcPr>
          <w:p w14:paraId="5030BBA6" w14:textId="77777777" w:rsidR="001A3F23" w:rsidRPr="001A3F23" w:rsidRDefault="001A3F23" w:rsidP="001A3F23">
            <w:pPr>
              <w:keepNext/>
              <w:jc w:val="center"/>
              <w:rPr>
                <w:rFonts w:cs="Calibri"/>
                <w:sz w:val="22"/>
                <w:szCs w:val="22"/>
              </w:rPr>
            </w:pPr>
            <w:r w:rsidRPr="001A3F23">
              <w:rPr>
                <w:rFonts w:cs="Calibri"/>
                <w:sz w:val="22"/>
                <w:szCs w:val="22"/>
              </w:rPr>
              <w:t>69</w:t>
            </w:r>
          </w:p>
        </w:tc>
      </w:tr>
      <w:tr w:rsidR="001A3F23" w:rsidRPr="001A3F23" w14:paraId="281F8651" w14:textId="77777777" w:rsidTr="00FC5EF2">
        <w:trPr>
          <w:trHeight w:val="20"/>
          <w:jc w:val="center"/>
        </w:trPr>
        <w:tc>
          <w:tcPr>
            <w:tcW w:w="1200" w:type="dxa"/>
            <w:tcBorders>
              <w:top w:val="nil"/>
              <w:left w:val="single" w:sz="4" w:space="0" w:color="auto"/>
              <w:bottom w:val="nil"/>
              <w:right w:val="nil"/>
            </w:tcBorders>
            <w:shd w:val="clear" w:color="000000" w:fill="FFFFFF"/>
            <w:noWrap/>
            <w:vAlign w:val="bottom"/>
            <w:hideMark/>
          </w:tcPr>
          <w:p w14:paraId="05CBEC98"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Jun-17</w:t>
            </w:r>
          </w:p>
        </w:tc>
        <w:tc>
          <w:tcPr>
            <w:tcW w:w="960" w:type="dxa"/>
            <w:tcBorders>
              <w:top w:val="nil"/>
              <w:left w:val="single" w:sz="4" w:space="0" w:color="auto"/>
              <w:bottom w:val="nil"/>
              <w:right w:val="single" w:sz="4" w:space="0" w:color="auto"/>
            </w:tcBorders>
            <w:shd w:val="clear" w:color="000000" w:fill="FFFFFF"/>
            <w:noWrap/>
            <w:vAlign w:val="bottom"/>
            <w:hideMark/>
          </w:tcPr>
          <w:p w14:paraId="7B402ADA" w14:textId="77777777" w:rsidR="001A3F23" w:rsidRPr="001A3F23" w:rsidRDefault="001A3F23" w:rsidP="001A3F23">
            <w:pPr>
              <w:keepNext/>
              <w:jc w:val="center"/>
              <w:rPr>
                <w:rFonts w:cs="Calibri"/>
                <w:sz w:val="22"/>
                <w:szCs w:val="22"/>
              </w:rPr>
            </w:pPr>
            <w:r w:rsidRPr="001A3F23">
              <w:rPr>
                <w:rFonts w:cs="Calibri"/>
                <w:sz w:val="22"/>
                <w:szCs w:val="22"/>
              </w:rPr>
              <w:t>All</w:t>
            </w:r>
          </w:p>
        </w:tc>
        <w:tc>
          <w:tcPr>
            <w:tcW w:w="960" w:type="dxa"/>
            <w:tcBorders>
              <w:top w:val="nil"/>
              <w:left w:val="nil"/>
              <w:bottom w:val="nil"/>
              <w:right w:val="nil"/>
            </w:tcBorders>
            <w:shd w:val="clear" w:color="000000" w:fill="FFFFFF"/>
            <w:noWrap/>
            <w:vAlign w:val="bottom"/>
            <w:hideMark/>
          </w:tcPr>
          <w:p w14:paraId="67B8F0C4"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4,323</w:t>
            </w:r>
          </w:p>
        </w:tc>
        <w:tc>
          <w:tcPr>
            <w:tcW w:w="960" w:type="dxa"/>
            <w:tcBorders>
              <w:top w:val="nil"/>
              <w:left w:val="single" w:sz="4" w:space="0" w:color="auto"/>
              <w:bottom w:val="nil"/>
              <w:right w:val="nil"/>
            </w:tcBorders>
            <w:shd w:val="clear" w:color="000000" w:fill="FFFFFF"/>
            <w:noWrap/>
            <w:vAlign w:val="bottom"/>
            <w:hideMark/>
          </w:tcPr>
          <w:p w14:paraId="3CF98DE8"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3.48</w:t>
            </w:r>
          </w:p>
        </w:tc>
        <w:tc>
          <w:tcPr>
            <w:tcW w:w="960" w:type="dxa"/>
            <w:tcBorders>
              <w:top w:val="nil"/>
              <w:left w:val="nil"/>
              <w:bottom w:val="nil"/>
              <w:right w:val="single" w:sz="4" w:space="0" w:color="auto"/>
            </w:tcBorders>
            <w:shd w:val="clear" w:color="000000" w:fill="FFFFFF"/>
            <w:noWrap/>
            <w:vAlign w:val="bottom"/>
            <w:hideMark/>
          </w:tcPr>
          <w:p w14:paraId="4CC5DD0A"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0.23</w:t>
            </w:r>
          </w:p>
        </w:tc>
        <w:tc>
          <w:tcPr>
            <w:tcW w:w="960" w:type="dxa"/>
            <w:tcBorders>
              <w:top w:val="nil"/>
              <w:left w:val="nil"/>
              <w:bottom w:val="nil"/>
              <w:right w:val="nil"/>
            </w:tcBorders>
            <w:shd w:val="clear" w:color="000000" w:fill="FFFFFF"/>
            <w:noWrap/>
            <w:vAlign w:val="bottom"/>
            <w:hideMark/>
          </w:tcPr>
          <w:p w14:paraId="5DBDA7B7"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0.80</w:t>
            </w:r>
          </w:p>
        </w:tc>
        <w:tc>
          <w:tcPr>
            <w:tcW w:w="960" w:type="dxa"/>
            <w:tcBorders>
              <w:top w:val="nil"/>
              <w:left w:val="nil"/>
              <w:bottom w:val="nil"/>
              <w:right w:val="nil"/>
            </w:tcBorders>
            <w:shd w:val="clear" w:color="000000" w:fill="FFFFFF"/>
            <w:noWrap/>
            <w:vAlign w:val="bottom"/>
            <w:hideMark/>
          </w:tcPr>
          <w:p w14:paraId="4FD80493"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0.05</w:t>
            </w:r>
          </w:p>
        </w:tc>
        <w:tc>
          <w:tcPr>
            <w:tcW w:w="960" w:type="dxa"/>
            <w:tcBorders>
              <w:top w:val="nil"/>
              <w:left w:val="single" w:sz="4" w:space="0" w:color="auto"/>
              <w:bottom w:val="nil"/>
              <w:right w:val="single" w:sz="4" w:space="0" w:color="auto"/>
            </w:tcBorders>
            <w:shd w:val="clear" w:color="000000" w:fill="FFFFFF"/>
            <w:noWrap/>
            <w:vAlign w:val="bottom"/>
            <w:hideMark/>
          </w:tcPr>
          <w:p w14:paraId="2D34673A" w14:textId="77777777" w:rsidR="001A3F23" w:rsidRPr="001A3F23" w:rsidRDefault="001A3F23" w:rsidP="001A3F23">
            <w:pPr>
              <w:keepNext/>
              <w:jc w:val="center"/>
              <w:rPr>
                <w:rFonts w:cs="Calibri"/>
                <w:sz w:val="22"/>
                <w:szCs w:val="22"/>
              </w:rPr>
            </w:pPr>
            <w:r w:rsidRPr="001A3F23">
              <w:rPr>
                <w:rFonts w:cs="Calibri"/>
                <w:sz w:val="22"/>
                <w:szCs w:val="22"/>
              </w:rPr>
              <w:t>6.6%</w:t>
            </w:r>
          </w:p>
        </w:tc>
        <w:tc>
          <w:tcPr>
            <w:tcW w:w="960" w:type="dxa"/>
            <w:tcBorders>
              <w:top w:val="nil"/>
              <w:left w:val="nil"/>
              <w:bottom w:val="nil"/>
              <w:right w:val="single" w:sz="4" w:space="0" w:color="auto"/>
            </w:tcBorders>
            <w:shd w:val="clear" w:color="000000" w:fill="FFFFFF"/>
            <w:noWrap/>
            <w:vAlign w:val="bottom"/>
            <w:hideMark/>
          </w:tcPr>
          <w:p w14:paraId="4E68DE28" w14:textId="77777777" w:rsidR="001A3F23" w:rsidRPr="001A3F23" w:rsidRDefault="001A3F23" w:rsidP="001A3F23">
            <w:pPr>
              <w:keepNext/>
              <w:jc w:val="center"/>
              <w:rPr>
                <w:rFonts w:cs="Calibri"/>
                <w:sz w:val="22"/>
                <w:szCs w:val="22"/>
              </w:rPr>
            </w:pPr>
            <w:r w:rsidRPr="001A3F23">
              <w:rPr>
                <w:rFonts w:cs="Calibri"/>
                <w:sz w:val="22"/>
                <w:szCs w:val="22"/>
              </w:rPr>
              <w:t>75</w:t>
            </w:r>
          </w:p>
        </w:tc>
      </w:tr>
      <w:tr w:rsidR="001A3F23" w:rsidRPr="001A3F23" w14:paraId="3FB9FB3C" w14:textId="77777777" w:rsidTr="00FC5EF2">
        <w:trPr>
          <w:trHeight w:val="20"/>
          <w:jc w:val="center"/>
        </w:trPr>
        <w:tc>
          <w:tcPr>
            <w:tcW w:w="1200" w:type="dxa"/>
            <w:tcBorders>
              <w:top w:val="nil"/>
              <w:left w:val="single" w:sz="4" w:space="0" w:color="auto"/>
              <w:bottom w:val="nil"/>
              <w:right w:val="nil"/>
            </w:tcBorders>
            <w:shd w:val="clear" w:color="000000" w:fill="FFFFFF"/>
            <w:noWrap/>
            <w:vAlign w:val="bottom"/>
            <w:hideMark/>
          </w:tcPr>
          <w:p w14:paraId="5C708679"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Jul-17</w:t>
            </w:r>
          </w:p>
        </w:tc>
        <w:tc>
          <w:tcPr>
            <w:tcW w:w="960" w:type="dxa"/>
            <w:tcBorders>
              <w:top w:val="nil"/>
              <w:left w:val="single" w:sz="4" w:space="0" w:color="auto"/>
              <w:bottom w:val="nil"/>
              <w:right w:val="single" w:sz="4" w:space="0" w:color="auto"/>
            </w:tcBorders>
            <w:shd w:val="clear" w:color="000000" w:fill="FFFFFF"/>
            <w:noWrap/>
            <w:vAlign w:val="bottom"/>
            <w:hideMark/>
          </w:tcPr>
          <w:p w14:paraId="63E3C0DF" w14:textId="77777777" w:rsidR="001A3F23" w:rsidRPr="001A3F23" w:rsidRDefault="001A3F23" w:rsidP="001A3F23">
            <w:pPr>
              <w:keepNext/>
              <w:jc w:val="center"/>
              <w:rPr>
                <w:rFonts w:cs="Calibri"/>
                <w:sz w:val="22"/>
                <w:szCs w:val="22"/>
              </w:rPr>
            </w:pPr>
            <w:r w:rsidRPr="001A3F23">
              <w:rPr>
                <w:rFonts w:cs="Calibri"/>
                <w:sz w:val="22"/>
                <w:szCs w:val="22"/>
              </w:rPr>
              <w:t>All</w:t>
            </w:r>
          </w:p>
        </w:tc>
        <w:tc>
          <w:tcPr>
            <w:tcW w:w="960" w:type="dxa"/>
            <w:tcBorders>
              <w:top w:val="nil"/>
              <w:left w:val="nil"/>
              <w:bottom w:val="nil"/>
              <w:right w:val="nil"/>
            </w:tcBorders>
            <w:shd w:val="clear" w:color="000000" w:fill="FFFFFF"/>
            <w:noWrap/>
            <w:vAlign w:val="bottom"/>
            <w:hideMark/>
          </w:tcPr>
          <w:p w14:paraId="336B20F3"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4,622</w:t>
            </w:r>
          </w:p>
        </w:tc>
        <w:tc>
          <w:tcPr>
            <w:tcW w:w="960" w:type="dxa"/>
            <w:tcBorders>
              <w:top w:val="nil"/>
              <w:left w:val="single" w:sz="4" w:space="0" w:color="auto"/>
              <w:bottom w:val="nil"/>
              <w:right w:val="nil"/>
            </w:tcBorders>
            <w:shd w:val="clear" w:color="000000" w:fill="FFFFFF"/>
            <w:noWrap/>
            <w:vAlign w:val="bottom"/>
            <w:hideMark/>
          </w:tcPr>
          <w:p w14:paraId="2FDBE05F"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4.99</w:t>
            </w:r>
          </w:p>
        </w:tc>
        <w:tc>
          <w:tcPr>
            <w:tcW w:w="960" w:type="dxa"/>
            <w:tcBorders>
              <w:top w:val="nil"/>
              <w:left w:val="nil"/>
              <w:bottom w:val="nil"/>
              <w:right w:val="single" w:sz="4" w:space="0" w:color="auto"/>
            </w:tcBorders>
            <w:shd w:val="clear" w:color="000000" w:fill="FFFFFF"/>
            <w:noWrap/>
            <w:vAlign w:val="bottom"/>
            <w:hideMark/>
          </w:tcPr>
          <w:p w14:paraId="213B6B0A"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0.31</w:t>
            </w:r>
          </w:p>
        </w:tc>
        <w:tc>
          <w:tcPr>
            <w:tcW w:w="960" w:type="dxa"/>
            <w:tcBorders>
              <w:top w:val="nil"/>
              <w:left w:val="nil"/>
              <w:bottom w:val="nil"/>
              <w:right w:val="nil"/>
            </w:tcBorders>
            <w:shd w:val="clear" w:color="000000" w:fill="FFFFFF"/>
            <w:noWrap/>
            <w:vAlign w:val="bottom"/>
            <w:hideMark/>
          </w:tcPr>
          <w:p w14:paraId="7F861FE4"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1.08</w:t>
            </w:r>
          </w:p>
        </w:tc>
        <w:tc>
          <w:tcPr>
            <w:tcW w:w="960" w:type="dxa"/>
            <w:tcBorders>
              <w:top w:val="nil"/>
              <w:left w:val="nil"/>
              <w:bottom w:val="nil"/>
              <w:right w:val="nil"/>
            </w:tcBorders>
            <w:shd w:val="clear" w:color="000000" w:fill="FFFFFF"/>
            <w:noWrap/>
            <w:vAlign w:val="bottom"/>
            <w:hideMark/>
          </w:tcPr>
          <w:p w14:paraId="5782760C"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0.07</w:t>
            </w:r>
          </w:p>
        </w:tc>
        <w:tc>
          <w:tcPr>
            <w:tcW w:w="960" w:type="dxa"/>
            <w:tcBorders>
              <w:top w:val="nil"/>
              <w:left w:val="single" w:sz="4" w:space="0" w:color="auto"/>
              <w:bottom w:val="nil"/>
              <w:right w:val="single" w:sz="4" w:space="0" w:color="auto"/>
            </w:tcBorders>
            <w:shd w:val="clear" w:color="000000" w:fill="FFFFFF"/>
            <w:noWrap/>
            <w:vAlign w:val="bottom"/>
            <w:hideMark/>
          </w:tcPr>
          <w:p w14:paraId="42F78CE4" w14:textId="77777777" w:rsidR="001A3F23" w:rsidRPr="001A3F23" w:rsidRDefault="001A3F23" w:rsidP="001A3F23">
            <w:pPr>
              <w:keepNext/>
              <w:jc w:val="center"/>
              <w:rPr>
                <w:rFonts w:cs="Calibri"/>
                <w:sz w:val="22"/>
                <w:szCs w:val="22"/>
              </w:rPr>
            </w:pPr>
            <w:r w:rsidRPr="001A3F23">
              <w:rPr>
                <w:rFonts w:cs="Calibri"/>
                <w:sz w:val="22"/>
                <w:szCs w:val="22"/>
              </w:rPr>
              <w:t>6.3%</w:t>
            </w:r>
          </w:p>
        </w:tc>
        <w:tc>
          <w:tcPr>
            <w:tcW w:w="960" w:type="dxa"/>
            <w:tcBorders>
              <w:top w:val="nil"/>
              <w:left w:val="nil"/>
              <w:bottom w:val="nil"/>
              <w:right w:val="single" w:sz="4" w:space="0" w:color="auto"/>
            </w:tcBorders>
            <w:shd w:val="clear" w:color="000000" w:fill="FFFFFF"/>
            <w:noWrap/>
            <w:vAlign w:val="bottom"/>
            <w:hideMark/>
          </w:tcPr>
          <w:p w14:paraId="2DE4DB33" w14:textId="77777777" w:rsidR="001A3F23" w:rsidRPr="001A3F23" w:rsidRDefault="001A3F23" w:rsidP="001A3F23">
            <w:pPr>
              <w:keepNext/>
              <w:jc w:val="center"/>
              <w:rPr>
                <w:rFonts w:cs="Calibri"/>
                <w:sz w:val="22"/>
                <w:szCs w:val="22"/>
              </w:rPr>
            </w:pPr>
            <w:r w:rsidRPr="001A3F23">
              <w:rPr>
                <w:rFonts w:cs="Calibri"/>
                <w:sz w:val="22"/>
                <w:szCs w:val="22"/>
              </w:rPr>
              <w:t>80</w:t>
            </w:r>
          </w:p>
        </w:tc>
      </w:tr>
      <w:tr w:rsidR="001A3F23" w:rsidRPr="001A3F23" w14:paraId="4D22CB0E" w14:textId="77777777" w:rsidTr="00FC5EF2">
        <w:trPr>
          <w:trHeight w:val="20"/>
          <w:jc w:val="center"/>
        </w:trPr>
        <w:tc>
          <w:tcPr>
            <w:tcW w:w="1200" w:type="dxa"/>
            <w:tcBorders>
              <w:top w:val="nil"/>
              <w:left w:val="single" w:sz="4" w:space="0" w:color="auto"/>
              <w:bottom w:val="nil"/>
              <w:right w:val="nil"/>
            </w:tcBorders>
            <w:shd w:val="clear" w:color="000000" w:fill="FFFFFF"/>
            <w:noWrap/>
            <w:vAlign w:val="bottom"/>
            <w:hideMark/>
          </w:tcPr>
          <w:p w14:paraId="5CE8001E"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Aug-17</w:t>
            </w:r>
          </w:p>
        </w:tc>
        <w:tc>
          <w:tcPr>
            <w:tcW w:w="960" w:type="dxa"/>
            <w:tcBorders>
              <w:top w:val="nil"/>
              <w:left w:val="single" w:sz="4" w:space="0" w:color="auto"/>
              <w:bottom w:val="nil"/>
              <w:right w:val="single" w:sz="4" w:space="0" w:color="auto"/>
            </w:tcBorders>
            <w:shd w:val="clear" w:color="000000" w:fill="FFFFFF"/>
            <w:noWrap/>
            <w:vAlign w:val="bottom"/>
            <w:hideMark/>
          </w:tcPr>
          <w:p w14:paraId="4B595823" w14:textId="77777777" w:rsidR="001A3F23" w:rsidRPr="001A3F23" w:rsidRDefault="001A3F23" w:rsidP="001A3F23">
            <w:pPr>
              <w:keepNext/>
              <w:jc w:val="center"/>
              <w:rPr>
                <w:rFonts w:cs="Calibri"/>
                <w:sz w:val="22"/>
                <w:szCs w:val="22"/>
              </w:rPr>
            </w:pPr>
            <w:r w:rsidRPr="001A3F23">
              <w:rPr>
                <w:rFonts w:cs="Calibri"/>
                <w:sz w:val="22"/>
                <w:szCs w:val="22"/>
              </w:rPr>
              <w:t>All</w:t>
            </w:r>
          </w:p>
        </w:tc>
        <w:tc>
          <w:tcPr>
            <w:tcW w:w="960" w:type="dxa"/>
            <w:tcBorders>
              <w:top w:val="nil"/>
              <w:left w:val="nil"/>
              <w:bottom w:val="nil"/>
              <w:right w:val="nil"/>
            </w:tcBorders>
            <w:shd w:val="clear" w:color="000000" w:fill="FFFFFF"/>
            <w:noWrap/>
            <w:vAlign w:val="bottom"/>
            <w:hideMark/>
          </w:tcPr>
          <w:p w14:paraId="3D971D5E"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4,984</w:t>
            </w:r>
          </w:p>
        </w:tc>
        <w:tc>
          <w:tcPr>
            <w:tcW w:w="960" w:type="dxa"/>
            <w:tcBorders>
              <w:top w:val="nil"/>
              <w:left w:val="single" w:sz="4" w:space="0" w:color="auto"/>
              <w:bottom w:val="nil"/>
              <w:right w:val="nil"/>
            </w:tcBorders>
            <w:shd w:val="clear" w:color="000000" w:fill="FFFFFF"/>
            <w:noWrap/>
            <w:vAlign w:val="bottom"/>
            <w:hideMark/>
          </w:tcPr>
          <w:p w14:paraId="694E7324"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4.93</w:t>
            </w:r>
          </w:p>
        </w:tc>
        <w:tc>
          <w:tcPr>
            <w:tcW w:w="960" w:type="dxa"/>
            <w:tcBorders>
              <w:top w:val="nil"/>
              <w:left w:val="nil"/>
              <w:bottom w:val="nil"/>
              <w:right w:val="single" w:sz="4" w:space="0" w:color="auto"/>
            </w:tcBorders>
            <w:shd w:val="clear" w:color="000000" w:fill="FFFFFF"/>
            <w:noWrap/>
            <w:vAlign w:val="bottom"/>
            <w:hideMark/>
          </w:tcPr>
          <w:p w14:paraId="01A41DAC"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0.12</w:t>
            </w:r>
          </w:p>
        </w:tc>
        <w:tc>
          <w:tcPr>
            <w:tcW w:w="960" w:type="dxa"/>
            <w:tcBorders>
              <w:top w:val="nil"/>
              <w:left w:val="nil"/>
              <w:bottom w:val="nil"/>
              <w:right w:val="nil"/>
            </w:tcBorders>
            <w:shd w:val="clear" w:color="000000" w:fill="FFFFFF"/>
            <w:noWrap/>
            <w:vAlign w:val="bottom"/>
            <w:hideMark/>
          </w:tcPr>
          <w:p w14:paraId="1013110D"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0.99</w:t>
            </w:r>
          </w:p>
        </w:tc>
        <w:tc>
          <w:tcPr>
            <w:tcW w:w="960" w:type="dxa"/>
            <w:tcBorders>
              <w:top w:val="nil"/>
              <w:left w:val="nil"/>
              <w:bottom w:val="nil"/>
              <w:right w:val="nil"/>
            </w:tcBorders>
            <w:shd w:val="clear" w:color="000000" w:fill="FFFFFF"/>
            <w:noWrap/>
            <w:vAlign w:val="bottom"/>
            <w:hideMark/>
          </w:tcPr>
          <w:p w14:paraId="4681D0BA"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0.02</w:t>
            </w:r>
          </w:p>
        </w:tc>
        <w:tc>
          <w:tcPr>
            <w:tcW w:w="960" w:type="dxa"/>
            <w:tcBorders>
              <w:top w:val="nil"/>
              <w:left w:val="single" w:sz="4" w:space="0" w:color="auto"/>
              <w:bottom w:val="nil"/>
              <w:right w:val="single" w:sz="4" w:space="0" w:color="auto"/>
            </w:tcBorders>
            <w:shd w:val="clear" w:color="000000" w:fill="FFFFFF"/>
            <w:noWrap/>
            <w:vAlign w:val="bottom"/>
            <w:hideMark/>
          </w:tcPr>
          <w:p w14:paraId="7D314CF7" w14:textId="77777777" w:rsidR="001A3F23" w:rsidRPr="001A3F23" w:rsidRDefault="001A3F23" w:rsidP="001A3F23">
            <w:pPr>
              <w:keepNext/>
              <w:jc w:val="center"/>
              <w:rPr>
                <w:rFonts w:cs="Calibri"/>
                <w:sz w:val="22"/>
                <w:szCs w:val="22"/>
              </w:rPr>
            </w:pPr>
            <w:r w:rsidRPr="001A3F23">
              <w:rPr>
                <w:rFonts w:cs="Calibri"/>
                <w:sz w:val="22"/>
                <w:szCs w:val="22"/>
              </w:rPr>
              <w:t>2.5%</w:t>
            </w:r>
          </w:p>
        </w:tc>
        <w:tc>
          <w:tcPr>
            <w:tcW w:w="960" w:type="dxa"/>
            <w:tcBorders>
              <w:top w:val="nil"/>
              <w:left w:val="nil"/>
              <w:bottom w:val="nil"/>
              <w:right w:val="single" w:sz="4" w:space="0" w:color="auto"/>
            </w:tcBorders>
            <w:shd w:val="clear" w:color="000000" w:fill="FFFFFF"/>
            <w:noWrap/>
            <w:vAlign w:val="bottom"/>
            <w:hideMark/>
          </w:tcPr>
          <w:p w14:paraId="67629CB5" w14:textId="77777777" w:rsidR="001A3F23" w:rsidRPr="001A3F23" w:rsidRDefault="001A3F23" w:rsidP="001A3F23">
            <w:pPr>
              <w:keepNext/>
              <w:jc w:val="center"/>
              <w:rPr>
                <w:rFonts w:cs="Calibri"/>
                <w:sz w:val="22"/>
                <w:szCs w:val="22"/>
              </w:rPr>
            </w:pPr>
            <w:r w:rsidRPr="001A3F23">
              <w:rPr>
                <w:rFonts w:cs="Calibri"/>
                <w:sz w:val="22"/>
                <w:szCs w:val="22"/>
              </w:rPr>
              <w:t>80</w:t>
            </w:r>
          </w:p>
        </w:tc>
      </w:tr>
      <w:tr w:rsidR="001A3F23" w:rsidRPr="001A3F23" w14:paraId="35F89829" w14:textId="77777777" w:rsidTr="00FC5EF2">
        <w:trPr>
          <w:trHeight w:val="20"/>
          <w:jc w:val="center"/>
        </w:trPr>
        <w:tc>
          <w:tcPr>
            <w:tcW w:w="1200" w:type="dxa"/>
            <w:tcBorders>
              <w:top w:val="nil"/>
              <w:left w:val="single" w:sz="4" w:space="0" w:color="auto"/>
              <w:bottom w:val="single" w:sz="4" w:space="0" w:color="auto"/>
              <w:right w:val="single" w:sz="4" w:space="0" w:color="auto"/>
            </w:tcBorders>
            <w:shd w:val="clear" w:color="000000" w:fill="FFFFFF"/>
            <w:noWrap/>
            <w:vAlign w:val="bottom"/>
            <w:hideMark/>
          </w:tcPr>
          <w:p w14:paraId="4AD4C93A"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Sep-17</w:t>
            </w:r>
          </w:p>
        </w:tc>
        <w:tc>
          <w:tcPr>
            <w:tcW w:w="960" w:type="dxa"/>
            <w:tcBorders>
              <w:top w:val="nil"/>
              <w:left w:val="nil"/>
              <w:bottom w:val="single" w:sz="4" w:space="0" w:color="auto"/>
              <w:right w:val="single" w:sz="4" w:space="0" w:color="auto"/>
            </w:tcBorders>
            <w:shd w:val="clear" w:color="000000" w:fill="FFFFFF"/>
            <w:noWrap/>
            <w:vAlign w:val="bottom"/>
            <w:hideMark/>
          </w:tcPr>
          <w:p w14:paraId="60389A8C" w14:textId="77777777" w:rsidR="001A3F23" w:rsidRPr="001A3F23" w:rsidRDefault="001A3F23" w:rsidP="001A3F23">
            <w:pPr>
              <w:keepNext/>
              <w:jc w:val="center"/>
              <w:rPr>
                <w:rFonts w:cs="Calibri"/>
                <w:sz w:val="22"/>
                <w:szCs w:val="22"/>
              </w:rPr>
            </w:pPr>
            <w:r w:rsidRPr="001A3F23">
              <w:rPr>
                <w:rFonts w:cs="Calibri"/>
                <w:sz w:val="22"/>
                <w:szCs w:val="22"/>
              </w:rPr>
              <w:t>All</w:t>
            </w:r>
          </w:p>
        </w:tc>
        <w:tc>
          <w:tcPr>
            <w:tcW w:w="960" w:type="dxa"/>
            <w:tcBorders>
              <w:top w:val="nil"/>
              <w:left w:val="nil"/>
              <w:bottom w:val="single" w:sz="4" w:space="0" w:color="auto"/>
              <w:right w:val="nil"/>
            </w:tcBorders>
            <w:shd w:val="clear" w:color="000000" w:fill="FFFFFF"/>
            <w:noWrap/>
            <w:vAlign w:val="bottom"/>
            <w:hideMark/>
          </w:tcPr>
          <w:p w14:paraId="768DDCF3" w14:textId="77777777" w:rsidR="001A3F23" w:rsidRPr="001A3F23" w:rsidRDefault="001A3F23" w:rsidP="001A3F23">
            <w:pPr>
              <w:keepNext/>
              <w:ind w:firstLineChars="100" w:firstLine="220"/>
              <w:jc w:val="right"/>
              <w:rPr>
                <w:rFonts w:cs="Calibri"/>
                <w:sz w:val="22"/>
                <w:szCs w:val="22"/>
              </w:rPr>
            </w:pPr>
            <w:r w:rsidRPr="001A3F23">
              <w:rPr>
                <w:rFonts w:cs="Calibri"/>
                <w:sz w:val="22"/>
                <w:szCs w:val="22"/>
              </w:rPr>
              <w:t>5,229</w:t>
            </w:r>
          </w:p>
        </w:tc>
        <w:tc>
          <w:tcPr>
            <w:tcW w:w="960" w:type="dxa"/>
            <w:tcBorders>
              <w:top w:val="nil"/>
              <w:left w:val="single" w:sz="4" w:space="0" w:color="auto"/>
              <w:bottom w:val="single" w:sz="4" w:space="0" w:color="auto"/>
              <w:right w:val="nil"/>
            </w:tcBorders>
            <w:shd w:val="clear" w:color="000000" w:fill="FFFFFF"/>
            <w:noWrap/>
            <w:vAlign w:val="bottom"/>
            <w:hideMark/>
          </w:tcPr>
          <w:p w14:paraId="3B624C4A"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4.59</w:t>
            </w:r>
          </w:p>
        </w:tc>
        <w:tc>
          <w:tcPr>
            <w:tcW w:w="960" w:type="dxa"/>
            <w:tcBorders>
              <w:top w:val="nil"/>
              <w:left w:val="nil"/>
              <w:bottom w:val="single" w:sz="4" w:space="0" w:color="auto"/>
              <w:right w:val="single" w:sz="4" w:space="0" w:color="auto"/>
            </w:tcBorders>
            <w:shd w:val="clear" w:color="000000" w:fill="FFFFFF"/>
            <w:noWrap/>
            <w:vAlign w:val="bottom"/>
            <w:hideMark/>
          </w:tcPr>
          <w:p w14:paraId="45159005"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0.37</w:t>
            </w:r>
          </w:p>
        </w:tc>
        <w:tc>
          <w:tcPr>
            <w:tcW w:w="960" w:type="dxa"/>
            <w:tcBorders>
              <w:top w:val="nil"/>
              <w:left w:val="nil"/>
              <w:bottom w:val="single" w:sz="4" w:space="0" w:color="auto"/>
              <w:right w:val="nil"/>
            </w:tcBorders>
            <w:shd w:val="clear" w:color="000000" w:fill="FFFFFF"/>
            <w:noWrap/>
            <w:vAlign w:val="bottom"/>
            <w:hideMark/>
          </w:tcPr>
          <w:p w14:paraId="6742E130"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0.88</w:t>
            </w:r>
          </w:p>
        </w:tc>
        <w:tc>
          <w:tcPr>
            <w:tcW w:w="960" w:type="dxa"/>
            <w:tcBorders>
              <w:top w:val="nil"/>
              <w:left w:val="nil"/>
              <w:bottom w:val="single" w:sz="4" w:space="0" w:color="auto"/>
              <w:right w:val="nil"/>
            </w:tcBorders>
            <w:shd w:val="clear" w:color="000000" w:fill="FFFFFF"/>
            <w:noWrap/>
            <w:vAlign w:val="bottom"/>
            <w:hideMark/>
          </w:tcPr>
          <w:p w14:paraId="0BC5D252" w14:textId="77777777" w:rsidR="001A3F23" w:rsidRPr="001A3F23" w:rsidRDefault="001A3F23" w:rsidP="00DD2A35">
            <w:pPr>
              <w:keepNext/>
              <w:ind w:firstLineChars="100" w:firstLine="220"/>
              <w:jc w:val="center"/>
              <w:rPr>
                <w:rFonts w:cs="Calibri"/>
                <w:sz w:val="22"/>
                <w:szCs w:val="22"/>
              </w:rPr>
            </w:pPr>
            <w:r w:rsidRPr="001A3F23">
              <w:rPr>
                <w:rFonts w:cs="Calibri"/>
                <w:sz w:val="22"/>
                <w:szCs w:val="22"/>
              </w:rPr>
              <w:t>0.07</w:t>
            </w:r>
          </w:p>
        </w:tc>
        <w:tc>
          <w:tcPr>
            <w:tcW w:w="960" w:type="dxa"/>
            <w:tcBorders>
              <w:top w:val="nil"/>
              <w:left w:val="single" w:sz="4" w:space="0" w:color="auto"/>
              <w:bottom w:val="single" w:sz="4" w:space="0" w:color="auto"/>
              <w:right w:val="single" w:sz="4" w:space="0" w:color="auto"/>
            </w:tcBorders>
            <w:shd w:val="clear" w:color="000000" w:fill="FFFFFF"/>
            <w:noWrap/>
            <w:vAlign w:val="bottom"/>
            <w:hideMark/>
          </w:tcPr>
          <w:p w14:paraId="3F224C23" w14:textId="77777777" w:rsidR="001A3F23" w:rsidRPr="001A3F23" w:rsidRDefault="001A3F23" w:rsidP="001A3F23">
            <w:pPr>
              <w:keepNext/>
              <w:jc w:val="center"/>
              <w:rPr>
                <w:rFonts w:cs="Calibri"/>
                <w:sz w:val="22"/>
                <w:szCs w:val="22"/>
              </w:rPr>
            </w:pPr>
            <w:r w:rsidRPr="001A3F23">
              <w:rPr>
                <w:rFonts w:cs="Calibri"/>
                <w:sz w:val="22"/>
                <w:szCs w:val="22"/>
              </w:rPr>
              <w:t>8.1%</w:t>
            </w:r>
          </w:p>
        </w:tc>
        <w:tc>
          <w:tcPr>
            <w:tcW w:w="960" w:type="dxa"/>
            <w:tcBorders>
              <w:top w:val="nil"/>
              <w:left w:val="nil"/>
              <w:bottom w:val="single" w:sz="4" w:space="0" w:color="auto"/>
              <w:right w:val="single" w:sz="4" w:space="0" w:color="auto"/>
            </w:tcBorders>
            <w:shd w:val="clear" w:color="000000" w:fill="FFFFFF"/>
            <w:noWrap/>
            <w:vAlign w:val="bottom"/>
            <w:hideMark/>
          </w:tcPr>
          <w:p w14:paraId="21CFA4F9" w14:textId="77777777" w:rsidR="001A3F23" w:rsidRPr="001A3F23" w:rsidRDefault="001A3F23" w:rsidP="001A3F23">
            <w:pPr>
              <w:keepNext/>
              <w:jc w:val="center"/>
              <w:rPr>
                <w:rFonts w:cs="Calibri"/>
                <w:sz w:val="22"/>
                <w:szCs w:val="22"/>
              </w:rPr>
            </w:pPr>
            <w:r w:rsidRPr="001A3F23">
              <w:rPr>
                <w:rFonts w:cs="Calibri"/>
                <w:sz w:val="22"/>
                <w:szCs w:val="22"/>
              </w:rPr>
              <w:t>79</w:t>
            </w:r>
          </w:p>
        </w:tc>
      </w:tr>
    </w:tbl>
    <w:p w14:paraId="5FE17D25" w14:textId="77777777" w:rsidR="001A3F23" w:rsidRDefault="001A3F23" w:rsidP="00237521"/>
    <w:p w14:paraId="1D2F57A7" w14:textId="2C5FB2FD" w:rsidR="00B637C9" w:rsidRDefault="00B637C9" w:rsidP="00095AB1">
      <w:pPr>
        <w:spacing w:after="120"/>
      </w:pPr>
      <w:r>
        <w:t xml:space="preserve">Table 5.5 summarizes results by season and climate zone. </w:t>
      </w:r>
      <w:r w:rsidR="00E80973">
        <w:t>Both s</w:t>
      </w:r>
      <w:r>
        <w:t xml:space="preserve">ummer </w:t>
      </w:r>
      <w:r w:rsidR="00E80973">
        <w:t xml:space="preserve">and winter </w:t>
      </w:r>
      <w:r>
        <w:t xml:space="preserve">peak load impacts are similar between the Coastal and Inland climate zones, </w:t>
      </w:r>
      <w:r w:rsidR="00E80973">
        <w:t>with Coastal load impacts slightly larger in the summer and slightly smaller in the winter, when the TOU period is shorter and later in the day.</w:t>
      </w:r>
    </w:p>
    <w:p w14:paraId="09CCBA93" w14:textId="5AADE7C6" w:rsidR="00FC0920" w:rsidRDefault="00E13312" w:rsidP="001A3F23">
      <w:pPr>
        <w:pStyle w:val="TableCaption"/>
        <w:keepNext/>
        <w:keepLines/>
        <w:rPr>
          <w:i/>
        </w:rPr>
      </w:pPr>
      <w:bookmarkStart w:id="93" w:name="_Toc509576798"/>
      <w:r w:rsidRPr="00B824FE">
        <w:t xml:space="preserve">Table </w:t>
      </w:r>
      <w:r w:rsidR="0089126A" w:rsidRPr="00B824FE">
        <w:t>5</w:t>
      </w:r>
      <w:r w:rsidRPr="00B824FE">
        <w:t>.</w:t>
      </w:r>
      <w:r w:rsidR="0089126A" w:rsidRPr="00B824FE">
        <w:t>5</w:t>
      </w:r>
      <w:r w:rsidRPr="00B824FE">
        <w:t xml:space="preserve">: </w:t>
      </w:r>
      <w:r w:rsidR="006D4EEC" w:rsidRPr="00B824FE">
        <w:t>TOU</w:t>
      </w:r>
      <w:r w:rsidR="0089126A" w:rsidRPr="00B824FE">
        <w:t xml:space="preserve"> Peak Load Impacts </w:t>
      </w:r>
      <w:r w:rsidR="006D4EEC" w:rsidRPr="00B824FE">
        <w:t xml:space="preserve">for CPP Customers </w:t>
      </w:r>
      <w:r w:rsidR="0089126A" w:rsidRPr="00B824FE">
        <w:t xml:space="preserve">– </w:t>
      </w:r>
      <w:r w:rsidR="0089126A" w:rsidRPr="00B824FE">
        <w:rPr>
          <w:i/>
        </w:rPr>
        <w:t>Average Weekday by Season &amp; Climate Zone</w:t>
      </w:r>
      <w:bookmarkEnd w:id="93"/>
    </w:p>
    <w:tbl>
      <w:tblPr>
        <w:tblW w:w="9216" w:type="dxa"/>
        <w:jc w:val="center"/>
        <w:tblLook w:val="04A0" w:firstRow="1" w:lastRow="0" w:firstColumn="1" w:lastColumn="0" w:noHBand="0" w:noVBand="1"/>
      </w:tblPr>
      <w:tblGrid>
        <w:gridCol w:w="991"/>
        <w:gridCol w:w="979"/>
        <w:gridCol w:w="1161"/>
        <w:gridCol w:w="1096"/>
        <w:gridCol w:w="1096"/>
        <w:gridCol w:w="989"/>
        <w:gridCol w:w="989"/>
        <w:gridCol w:w="978"/>
        <w:gridCol w:w="978"/>
      </w:tblGrid>
      <w:tr w:rsidR="001A3F23" w:rsidRPr="001A3F23" w14:paraId="05897A6F" w14:textId="77777777" w:rsidTr="00E80973">
        <w:trPr>
          <w:trHeight w:val="19"/>
          <w:jc w:val="center"/>
        </w:trPr>
        <w:tc>
          <w:tcPr>
            <w:tcW w:w="991" w:type="dxa"/>
            <w:tcBorders>
              <w:top w:val="single" w:sz="4" w:space="0" w:color="auto"/>
              <w:left w:val="single" w:sz="4" w:space="0" w:color="auto"/>
              <w:bottom w:val="nil"/>
              <w:right w:val="single" w:sz="4" w:space="0" w:color="FFFFFF"/>
            </w:tcBorders>
            <w:shd w:val="clear" w:color="000000" w:fill="132577"/>
            <w:noWrap/>
            <w:vAlign w:val="bottom"/>
            <w:hideMark/>
          </w:tcPr>
          <w:p w14:paraId="477FBD13" w14:textId="77777777" w:rsidR="001A3F23" w:rsidRPr="001A3F23" w:rsidRDefault="001A3F23" w:rsidP="001A3F23">
            <w:pPr>
              <w:rPr>
                <w:rFonts w:cs="Calibri"/>
                <w:color w:val="FFFFFF"/>
                <w:sz w:val="22"/>
                <w:szCs w:val="22"/>
              </w:rPr>
            </w:pPr>
            <w:r w:rsidRPr="001A3F23">
              <w:rPr>
                <w:rFonts w:cs="Calibri"/>
                <w:color w:val="FFFFFF"/>
                <w:sz w:val="22"/>
                <w:szCs w:val="22"/>
              </w:rPr>
              <w:t> </w:t>
            </w:r>
          </w:p>
        </w:tc>
        <w:tc>
          <w:tcPr>
            <w:tcW w:w="979" w:type="dxa"/>
            <w:tcBorders>
              <w:top w:val="single" w:sz="4" w:space="0" w:color="auto"/>
              <w:left w:val="nil"/>
              <w:bottom w:val="nil"/>
              <w:right w:val="single" w:sz="4" w:space="0" w:color="FFFFFF"/>
            </w:tcBorders>
            <w:shd w:val="clear" w:color="000000" w:fill="132577"/>
            <w:noWrap/>
            <w:vAlign w:val="bottom"/>
            <w:hideMark/>
          </w:tcPr>
          <w:p w14:paraId="0A854A96" w14:textId="77777777" w:rsidR="001A3F23" w:rsidRPr="001A3F23" w:rsidRDefault="001A3F23" w:rsidP="001A3F23">
            <w:pPr>
              <w:rPr>
                <w:rFonts w:cs="Calibri"/>
                <w:color w:val="FFFFFF"/>
                <w:sz w:val="22"/>
                <w:szCs w:val="22"/>
              </w:rPr>
            </w:pPr>
            <w:r w:rsidRPr="001A3F23">
              <w:rPr>
                <w:rFonts w:cs="Calibri"/>
                <w:color w:val="FFFFFF"/>
                <w:sz w:val="22"/>
                <w:szCs w:val="22"/>
              </w:rPr>
              <w:t> </w:t>
            </w:r>
          </w:p>
        </w:tc>
        <w:tc>
          <w:tcPr>
            <w:tcW w:w="1161" w:type="dxa"/>
            <w:tcBorders>
              <w:top w:val="single" w:sz="4" w:space="0" w:color="auto"/>
              <w:left w:val="nil"/>
              <w:bottom w:val="nil"/>
              <w:right w:val="nil"/>
            </w:tcBorders>
            <w:shd w:val="clear" w:color="000000" w:fill="132577"/>
            <w:noWrap/>
            <w:vAlign w:val="bottom"/>
            <w:hideMark/>
          </w:tcPr>
          <w:p w14:paraId="368B1750" w14:textId="77777777" w:rsidR="001A3F23" w:rsidRPr="001A3F23" w:rsidRDefault="001A3F23" w:rsidP="001A3F23">
            <w:pPr>
              <w:rPr>
                <w:rFonts w:cs="Calibri"/>
                <w:color w:val="FFFFFF"/>
                <w:sz w:val="22"/>
                <w:szCs w:val="22"/>
              </w:rPr>
            </w:pPr>
            <w:r w:rsidRPr="001A3F23">
              <w:rPr>
                <w:rFonts w:cs="Calibri"/>
                <w:color w:val="FFFFFF"/>
                <w:sz w:val="22"/>
                <w:szCs w:val="22"/>
              </w:rPr>
              <w:t> </w:t>
            </w:r>
          </w:p>
        </w:tc>
        <w:tc>
          <w:tcPr>
            <w:tcW w:w="2192" w:type="dxa"/>
            <w:gridSpan w:val="2"/>
            <w:tcBorders>
              <w:top w:val="single" w:sz="4" w:space="0" w:color="auto"/>
              <w:left w:val="single" w:sz="4" w:space="0" w:color="FFFFFF"/>
              <w:bottom w:val="single" w:sz="4" w:space="0" w:color="FFFFFF"/>
              <w:right w:val="single" w:sz="4" w:space="0" w:color="FFFFFF"/>
            </w:tcBorders>
            <w:shd w:val="clear" w:color="000000" w:fill="132577"/>
            <w:noWrap/>
            <w:vAlign w:val="bottom"/>
            <w:hideMark/>
          </w:tcPr>
          <w:p w14:paraId="110A2218" w14:textId="77777777" w:rsidR="001A3F23" w:rsidRPr="001A3F23" w:rsidRDefault="001A3F23" w:rsidP="001A3F23">
            <w:pPr>
              <w:jc w:val="center"/>
              <w:rPr>
                <w:rFonts w:cs="Calibri"/>
                <w:b/>
                <w:bCs/>
                <w:color w:val="FFFFFF"/>
                <w:sz w:val="22"/>
                <w:szCs w:val="22"/>
              </w:rPr>
            </w:pPr>
            <w:r w:rsidRPr="001A3F23">
              <w:rPr>
                <w:rFonts w:cs="Calibri"/>
                <w:b/>
                <w:bCs/>
                <w:color w:val="FFFFFF"/>
                <w:sz w:val="22"/>
                <w:szCs w:val="22"/>
              </w:rPr>
              <w:t>Aggregate</w:t>
            </w:r>
          </w:p>
        </w:tc>
        <w:tc>
          <w:tcPr>
            <w:tcW w:w="1937" w:type="dxa"/>
            <w:gridSpan w:val="2"/>
            <w:tcBorders>
              <w:top w:val="single" w:sz="4" w:space="0" w:color="auto"/>
              <w:left w:val="nil"/>
              <w:bottom w:val="single" w:sz="4" w:space="0" w:color="FFFFFF"/>
              <w:right w:val="single" w:sz="4" w:space="0" w:color="FFFFFF"/>
            </w:tcBorders>
            <w:shd w:val="clear" w:color="000000" w:fill="132577"/>
            <w:noWrap/>
            <w:vAlign w:val="bottom"/>
            <w:hideMark/>
          </w:tcPr>
          <w:p w14:paraId="4CCAB7E1" w14:textId="77777777" w:rsidR="001A3F23" w:rsidRPr="001A3F23" w:rsidRDefault="001A3F23" w:rsidP="001A3F23">
            <w:pPr>
              <w:jc w:val="center"/>
              <w:rPr>
                <w:rFonts w:cs="Calibri"/>
                <w:b/>
                <w:bCs/>
                <w:color w:val="FFFFFF"/>
                <w:sz w:val="22"/>
                <w:szCs w:val="22"/>
              </w:rPr>
            </w:pPr>
            <w:r w:rsidRPr="001A3F23">
              <w:rPr>
                <w:rFonts w:cs="Calibri"/>
                <w:b/>
                <w:bCs/>
                <w:color w:val="FFFFFF"/>
                <w:sz w:val="22"/>
                <w:szCs w:val="22"/>
              </w:rPr>
              <w:t>Per-Customer</w:t>
            </w:r>
          </w:p>
        </w:tc>
        <w:tc>
          <w:tcPr>
            <w:tcW w:w="978" w:type="dxa"/>
            <w:tcBorders>
              <w:top w:val="single" w:sz="4" w:space="0" w:color="auto"/>
              <w:left w:val="nil"/>
              <w:bottom w:val="nil"/>
              <w:right w:val="single" w:sz="4" w:space="0" w:color="FFFFFF"/>
            </w:tcBorders>
            <w:shd w:val="clear" w:color="000000" w:fill="132577"/>
            <w:noWrap/>
            <w:vAlign w:val="bottom"/>
            <w:hideMark/>
          </w:tcPr>
          <w:p w14:paraId="17FCFF51" w14:textId="77777777" w:rsidR="001A3F23" w:rsidRPr="001A3F23" w:rsidRDefault="001A3F23" w:rsidP="001A3F23">
            <w:pPr>
              <w:rPr>
                <w:rFonts w:cs="Calibri"/>
                <w:color w:val="FFFFFF"/>
                <w:sz w:val="22"/>
                <w:szCs w:val="22"/>
              </w:rPr>
            </w:pPr>
            <w:r w:rsidRPr="001A3F23">
              <w:rPr>
                <w:rFonts w:cs="Calibri"/>
                <w:color w:val="FFFFFF"/>
                <w:sz w:val="22"/>
                <w:szCs w:val="22"/>
              </w:rPr>
              <w:t> </w:t>
            </w:r>
          </w:p>
        </w:tc>
        <w:tc>
          <w:tcPr>
            <w:tcW w:w="978" w:type="dxa"/>
            <w:tcBorders>
              <w:top w:val="single" w:sz="4" w:space="0" w:color="auto"/>
              <w:left w:val="nil"/>
              <w:bottom w:val="nil"/>
              <w:right w:val="single" w:sz="4" w:space="0" w:color="auto"/>
            </w:tcBorders>
            <w:shd w:val="clear" w:color="000000" w:fill="132577"/>
            <w:noWrap/>
            <w:vAlign w:val="bottom"/>
            <w:hideMark/>
          </w:tcPr>
          <w:p w14:paraId="5FDB9254" w14:textId="77777777" w:rsidR="001A3F23" w:rsidRPr="001A3F23" w:rsidRDefault="001A3F23" w:rsidP="001A3F23">
            <w:pPr>
              <w:rPr>
                <w:rFonts w:cs="Calibri"/>
                <w:color w:val="FFFFFF"/>
                <w:sz w:val="22"/>
                <w:szCs w:val="22"/>
              </w:rPr>
            </w:pPr>
            <w:r w:rsidRPr="001A3F23">
              <w:rPr>
                <w:rFonts w:cs="Calibri"/>
                <w:color w:val="FFFFFF"/>
                <w:sz w:val="22"/>
                <w:szCs w:val="22"/>
              </w:rPr>
              <w:t> </w:t>
            </w:r>
          </w:p>
        </w:tc>
      </w:tr>
      <w:tr w:rsidR="001A3F23" w:rsidRPr="001A3F23" w14:paraId="5862BED9" w14:textId="77777777" w:rsidTr="0010027E">
        <w:trPr>
          <w:trHeight w:val="19"/>
          <w:jc w:val="center"/>
        </w:trPr>
        <w:tc>
          <w:tcPr>
            <w:tcW w:w="991" w:type="dxa"/>
            <w:tcBorders>
              <w:top w:val="nil"/>
              <w:left w:val="single" w:sz="4" w:space="0" w:color="auto"/>
              <w:bottom w:val="single" w:sz="4" w:space="0" w:color="auto"/>
              <w:right w:val="single" w:sz="4" w:space="0" w:color="FFFFFF"/>
            </w:tcBorders>
            <w:shd w:val="clear" w:color="auto" w:fill="0C2577"/>
            <w:noWrap/>
            <w:vAlign w:val="bottom"/>
            <w:hideMark/>
          </w:tcPr>
          <w:p w14:paraId="062AA69B" w14:textId="77777777" w:rsidR="001A3F23" w:rsidRPr="001A3F23" w:rsidRDefault="001A3F23" w:rsidP="001A3F23">
            <w:pPr>
              <w:jc w:val="center"/>
              <w:rPr>
                <w:rFonts w:cs="Calibri"/>
                <w:b/>
                <w:bCs/>
                <w:color w:val="FFFFFF"/>
                <w:sz w:val="22"/>
                <w:szCs w:val="22"/>
              </w:rPr>
            </w:pPr>
            <w:r w:rsidRPr="001A3F23">
              <w:rPr>
                <w:rFonts w:cs="Calibri"/>
                <w:b/>
                <w:bCs/>
                <w:color w:val="FFFFFF"/>
                <w:sz w:val="22"/>
                <w:szCs w:val="22"/>
              </w:rPr>
              <w:t>Season</w:t>
            </w:r>
          </w:p>
        </w:tc>
        <w:tc>
          <w:tcPr>
            <w:tcW w:w="979" w:type="dxa"/>
            <w:tcBorders>
              <w:top w:val="nil"/>
              <w:left w:val="nil"/>
              <w:bottom w:val="single" w:sz="4" w:space="0" w:color="auto"/>
              <w:right w:val="single" w:sz="4" w:space="0" w:color="FFFFFF"/>
            </w:tcBorders>
            <w:shd w:val="clear" w:color="auto" w:fill="0C2577"/>
            <w:vAlign w:val="bottom"/>
            <w:hideMark/>
          </w:tcPr>
          <w:p w14:paraId="2D463737" w14:textId="77777777" w:rsidR="001A3F23" w:rsidRPr="001A3F23" w:rsidRDefault="001A3F23" w:rsidP="001A3F23">
            <w:pPr>
              <w:jc w:val="center"/>
              <w:rPr>
                <w:rFonts w:cs="Calibri"/>
                <w:b/>
                <w:bCs/>
                <w:color w:val="FFFFFF"/>
                <w:sz w:val="22"/>
                <w:szCs w:val="22"/>
              </w:rPr>
            </w:pPr>
            <w:r w:rsidRPr="001A3F23">
              <w:rPr>
                <w:rFonts w:cs="Calibri"/>
                <w:b/>
                <w:bCs/>
                <w:color w:val="FFFFFF"/>
                <w:sz w:val="22"/>
                <w:szCs w:val="22"/>
              </w:rPr>
              <w:t>Climate Zone</w:t>
            </w:r>
          </w:p>
        </w:tc>
        <w:tc>
          <w:tcPr>
            <w:tcW w:w="1161" w:type="dxa"/>
            <w:tcBorders>
              <w:top w:val="nil"/>
              <w:left w:val="nil"/>
              <w:bottom w:val="single" w:sz="4" w:space="0" w:color="auto"/>
              <w:right w:val="single" w:sz="4" w:space="0" w:color="FFFFFF"/>
            </w:tcBorders>
            <w:shd w:val="clear" w:color="auto" w:fill="0C2577"/>
            <w:vAlign w:val="bottom"/>
            <w:hideMark/>
          </w:tcPr>
          <w:p w14:paraId="79C10794" w14:textId="77777777" w:rsidR="001A3F23" w:rsidRPr="001A3F23" w:rsidRDefault="001A3F23" w:rsidP="001A3F23">
            <w:pPr>
              <w:jc w:val="center"/>
              <w:rPr>
                <w:rFonts w:cs="Calibri"/>
                <w:b/>
                <w:bCs/>
                <w:color w:val="FFFFFF"/>
                <w:sz w:val="22"/>
                <w:szCs w:val="22"/>
              </w:rPr>
            </w:pPr>
            <w:r w:rsidRPr="001A3F23">
              <w:rPr>
                <w:rFonts w:cs="Calibri"/>
                <w:b/>
                <w:bCs/>
                <w:color w:val="FFFFFF"/>
                <w:sz w:val="22"/>
                <w:szCs w:val="22"/>
              </w:rPr>
              <w:t>Enrolled (Average)</w:t>
            </w:r>
          </w:p>
        </w:tc>
        <w:tc>
          <w:tcPr>
            <w:tcW w:w="1096" w:type="dxa"/>
            <w:tcBorders>
              <w:top w:val="nil"/>
              <w:left w:val="nil"/>
              <w:bottom w:val="single" w:sz="4" w:space="0" w:color="auto"/>
              <w:right w:val="nil"/>
            </w:tcBorders>
            <w:shd w:val="clear" w:color="auto" w:fill="0C2577"/>
            <w:vAlign w:val="bottom"/>
            <w:hideMark/>
          </w:tcPr>
          <w:p w14:paraId="7D4CA75B" w14:textId="77777777" w:rsidR="001A3F23" w:rsidRPr="001A3F23" w:rsidRDefault="001A3F23" w:rsidP="001A3F23">
            <w:pPr>
              <w:jc w:val="center"/>
              <w:rPr>
                <w:rFonts w:cs="Calibri"/>
                <w:b/>
                <w:bCs/>
                <w:color w:val="FFFFFF"/>
                <w:sz w:val="22"/>
                <w:szCs w:val="22"/>
              </w:rPr>
            </w:pPr>
            <w:r w:rsidRPr="001A3F23">
              <w:rPr>
                <w:rFonts w:cs="Calibri"/>
                <w:b/>
                <w:bCs/>
                <w:color w:val="FFFFFF"/>
                <w:sz w:val="22"/>
                <w:szCs w:val="22"/>
              </w:rPr>
              <w:t>Peak Ref. Load (MWh/h)</w:t>
            </w:r>
          </w:p>
        </w:tc>
        <w:tc>
          <w:tcPr>
            <w:tcW w:w="1096" w:type="dxa"/>
            <w:tcBorders>
              <w:top w:val="nil"/>
              <w:left w:val="single" w:sz="4" w:space="0" w:color="FFFFFF"/>
              <w:bottom w:val="single" w:sz="4" w:space="0" w:color="auto"/>
              <w:right w:val="single" w:sz="4" w:space="0" w:color="FFFFFF"/>
            </w:tcBorders>
            <w:shd w:val="clear" w:color="auto" w:fill="0C2577"/>
            <w:vAlign w:val="bottom"/>
            <w:hideMark/>
          </w:tcPr>
          <w:p w14:paraId="00BD5229" w14:textId="77777777" w:rsidR="001A3F23" w:rsidRPr="001A3F23" w:rsidRDefault="001A3F23" w:rsidP="001A3F23">
            <w:pPr>
              <w:jc w:val="center"/>
              <w:rPr>
                <w:rFonts w:cs="Calibri"/>
                <w:b/>
                <w:bCs/>
                <w:color w:val="FFFFFF"/>
                <w:sz w:val="22"/>
                <w:szCs w:val="22"/>
              </w:rPr>
            </w:pPr>
            <w:r w:rsidRPr="001A3F23">
              <w:rPr>
                <w:rFonts w:cs="Calibri"/>
                <w:b/>
                <w:bCs/>
                <w:color w:val="FFFFFF"/>
                <w:sz w:val="22"/>
                <w:szCs w:val="22"/>
              </w:rPr>
              <w:t>Peak Load Impact (MWh/h)</w:t>
            </w:r>
          </w:p>
        </w:tc>
        <w:tc>
          <w:tcPr>
            <w:tcW w:w="958" w:type="dxa"/>
            <w:tcBorders>
              <w:top w:val="nil"/>
              <w:left w:val="nil"/>
              <w:bottom w:val="single" w:sz="4" w:space="0" w:color="auto"/>
              <w:right w:val="nil"/>
            </w:tcBorders>
            <w:shd w:val="clear" w:color="auto" w:fill="0C2577"/>
            <w:vAlign w:val="bottom"/>
            <w:hideMark/>
          </w:tcPr>
          <w:p w14:paraId="7A05AB5C" w14:textId="72E85ABF" w:rsidR="001A3F23" w:rsidRPr="001A3F23" w:rsidRDefault="001A3F23" w:rsidP="001A3F23">
            <w:pPr>
              <w:jc w:val="center"/>
              <w:rPr>
                <w:rFonts w:cs="Calibri"/>
                <w:b/>
                <w:bCs/>
                <w:color w:val="FFFFFF"/>
                <w:sz w:val="22"/>
                <w:szCs w:val="22"/>
              </w:rPr>
            </w:pPr>
            <w:r w:rsidRPr="001A3F23">
              <w:rPr>
                <w:rFonts w:cs="Calibri"/>
                <w:b/>
                <w:bCs/>
                <w:color w:val="FFFFFF"/>
                <w:sz w:val="22"/>
                <w:szCs w:val="22"/>
              </w:rPr>
              <w:t>Peak Ref. Load (kW</w:t>
            </w:r>
            <w:r w:rsidR="007629EE">
              <w:rPr>
                <w:rFonts w:cs="Calibri"/>
                <w:b/>
                <w:bCs/>
                <w:color w:val="FFFFFF"/>
                <w:sz w:val="22"/>
                <w:szCs w:val="22"/>
              </w:rPr>
              <w:t>h/h</w:t>
            </w:r>
            <w:r w:rsidRPr="001A3F23">
              <w:rPr>
                <w:rFonts w:cs="Calibri"/>
                <w:b/>
                <w:bCs/>
                <w:color w:val="FFFFFF"/>
                <w:sz w:val="22"/>
                <w:szCs w:val="22"/>
              </w:rPr>
              <w:t>)</w:t>
            </w:r>
          </w:p>
        </w:tc>
        <w:tc>
          <w:tcPr>
            <w:tcW w:w="978" w:type="dxa"/>
            <w:tcBorders>
              <w:top w:val="nil"/>
              <w:left w:val="single" w:sz="4" w:space="0" w:color="FFFFFF"/>
              <w:bottom w:val="single" w:sz="4" w:space="0" w:color="auto"/>
              <w:right w:val="single" w:sz="4" w:space="0" w:color="FFFFFF"/>
            </w:tcBorders>
            <w:shd w:val="clear" w:color="auto" w:fill="0C2577"/>
            <w:vAlign w:val="bottom"/>
            <w:hideMark/>
          </w:tcPr>
          <w:p w14:paraId="468BD8AA" w14:textId="5F031AEC" w:rsidR="001A3F23" w:rsidRPr="001A3F23" w:rsidRDefault="001A3F23" w:rsidP="001A3F23">
            <w:pPr>
              <w:jc w:val="center"/>
              <w:rPr>
                <w:rFonts w:cs="Calibri"/>
                <w:b/>
                <w:bCs/>
                <w:color w:val="FFFFFF"/>
                <w:sz w:val="22"/>
                <w:szCs w:val="22"/>
              </w:rPr>
            </w:pPr>
            <w:r w:rsidRPr="001A3F23">
              <w:rPr>
                <w:rFonts w:cs="Calibri"/>
                <w:b/>
                <w:bCs/>
                <w:color w:val="FFFFFF"/>
                <w:sz w:val="22"/>
                <w:szCs w:val="22"/>
              </w:rPr>
              <w:t>Peak Load Impact (kW</w:t>
            </w:r>
            <w:r w:rsidR="007629EE">
              <w:rPr>
                <w:rFonts w:cs="Calibri"/>
                <w:b/>
                <w:bCs/>
                <w:color w:val="FFFFFF"/>
                <w:sz w:val="22"/>
                <w:szCs w:val="22"/>
              </w:rPr>
              <w:t>h/h</w:t>
            </w:r>
            <w:r w:rsidRPr="001A3F23">
              <w:rPr>
                <w:rFonts w:cs="Calibri"/>
                <w:b/>
                <w:bCs/>
                <w:color w:val="FFFFFF"/>
                <w:sz w:val="22"/>
                <w:szCs w:val="22"/>
              </w:rPr>
              <w:t>)</w:t>
            </w:r>
          </w:p>
        </w:tc>
        <w:tc>
          <w:tcPr>
            <w:tcW w:w="978" w:type="dxa"/>
            <w:tcBorders>
              <w:top w:val="nil"/>
              <w:left w:val="nil"/>
              <w:bottom w:val="single" w:sz="4" w:space="0" w:color="auto"/>
              <w:right w:val="single" w:sz="4" w:space="0" w:color="FFFFFF"/>
            </w:tcBorders>
            <w:shd w:val="clear" w:color="auto" w:fill="0C2577"/>
            <w:vAlign w:val="bottom"/>
            <w:hideMark/>
          </w:tcPr>
          <w:p w14:paraId="7E03DAE1" w14:textId="77777777" w:rsidR="001A3F23" w:rsidRPr="001A3F23" w:rsidRDefault="001A3F23" w:rsidP="001A3F23">
            <w:pPr>
              <w:jc w:val="center"/>
              <w:rPr>
                <w:rFonts w:cs="Calibri"/>
                <w:b/>
                <w:bCs/>
                <w:color w:val="FFFFFF"/>
                <w:sz w:val="22"/>
                <w:szCs w:val="22"/>
              </w:rPr>
            </w:pPr>
            <w:r w:rsidRPr="001A3F23">
              <w:rPr>
                <w:rFonts w:cs="Calibri"/>
                <w:b/>
                <w:bCs/>
                <w:color w:val="FFFFFF"/>
                <w:sz w:val="22"/>
                <w:szCs w:val="22"/>
              </w:rPr>
              <w:t>% Peak Load Impact</w:t>
            </w:r>
          </w:p>
        </w:tc>
        <w:tc>
          <w:tcPr>
            <w:tcW w:w="978" w:type="dxa"/>
            <w:tcBorders>
              <w:top w:val="nil"/>
              <w:left w:val="nil"/>
              <w:bottom w:val="single" w:sz="4" w:space="0" w:color="auto"/>
              <w:right w:val="single" w:sz="4" w:space="0" w:color="auto"/>
            </w:tcBorders>
            <w:shd w:val="clear" w:color="auto" w:fill="0C2577"/>
            <w:vAlign w:val="bottom"/>
            <w:hideMark/>
          </w:tcPr>
          <w:p w14:paraId="74F0E3DE" w14:textId="77777777" w:rsidR="001A3F23" w:rsidRPr="001A3F23" w:rsidRDefault="001A3F23" w:rsidP="001A3F23">
            <w:pPr>
              <w:jc w:val="center"/>
              <w:rPr>
                <w:rFonts w:cs="Calibri"/>
                <w:b/>
                <w:bCs/>
                <w:color w:val="FFFFFF"/>
                <w:sz w:val="22"/>
                <w:szCs w:val="22"/>
              </w:rPr>
            </w:pPr>
            <w:r w:rsidRPr="001A3F23">
              <w:rPr>
                <w:rFonts w:cs="Calibri"/>
                <w:b/>
                <w:bCs/>
                <w:color w:val="FFFFFF"/>
                <w:sz w:val="22"/>
                <w:szCs w:val="22"/>
              </w:rPr>
              <w:t>Ave. Peak Temp.</w:t>
            </w:r>
          </w:p>
        </w:tc>
      </w:tr>
      <w:tr w:rsidR="001A3F23" w:rsidRPr="001A3F23" w14:paraId="78C3F9F8" w14:textId="77777777" w:rsidTr="00E80973">
        <w:trPr>
          <w:trHeight w:val="19"/>
          <w:jc w:val="center"/>
        </w:trPr>
        <w:tc>
          <w:tcPr>
            <w:tcW w:w="991" w:type="dxa"/>
            <w:vMerge w:val="restart"/>
            <w:tcBorders>
              <w:top w:val="nil"/>
              <w:left w:val="single" w:sz="4" w:space="0" w:color="auto"/>
              <w:bottom w:val="double" w:sz="6" w:space="0" w:color="000000"/>
              <w:right w:val="nil"/>
            </w:tcBorders>
            <w:shd w:val="clear" w:color="auto" w:fill="auto"/>
            <w:vAlign w:val="center"/>
            <w:hideMark/>
          </w:tcPr>
          <w:p w14:paraId="5F4066C4" w14:textId="77777777" w:rsidR="001A3F23" w:rsidRPr="001A3F23" w:rsidRDefault="001A3F23" w:rsidP="001A3F23">
            <w:pPr>
              <w:jc w:val="center"/>
              <w:rPr>
                <w:rFonts w:cs="Calibri"/>
                <w:sz w:val="22"/>
                <w:szCs w:val="22"/>
              </w:rPr>
            </w:pPr>
            <w:r w:rsidRPr="001A3F23">
              <w:rPr>
                <w:rFonts w:cs="Calibri"/>
                <w:sz w:val="22"/>
                <w:szCs w:val="22"/>
              </w:rPr>
              <w:t>Summer</w:t>
            </w:r>
          </w:p>
        </w:tc>
        <w:tc>
          <w:tcPr>
            <w:tcW w:w="979" w:type="dxa"/>
            <w:tcBorders>
              <w:top w:val="nil"/>
              <w:left w:val="single" w:sz="4" w:space="0" w:color="auto"/>
              <w:bottom w:val="nil"/>
              <w:right w:val="single" w:sz="4" w:space="0" w:color="auto"/>
            </w:tcBorders>
            <w:shd w:val="clear" w:color="000000" w:fill="FFFFFF"/>
            <w:noWrap/>
            <w:vAlign w:val="bottom"/>
            <w:hideMark/>
          </w:tcPr>
          <w:p w14:paraId="44B36889" w14:textId="77777777" w:rsidR="001A3F23" w:rsidRPr="001A3F23" w:rsidRDefault="001A3F23" w:rsidP="001A3F23">
            <w:pPr>
              <w:jc w:val="center"/>
              <w:rPr>
                <w:rFonts w:cs="Calibri"/>
                <w:sz w:val="22"/>
                <w:szCs w:val="22"/>
              </w:rPr>
            </w:pPr>
            <w:r w:rsidRPr="001A3F23">
              <w:rPr>
                <w:rFonts w:cs="Calibri"/>
                <w:sz w:val="22"/>
                <w:szCs w:val="22"/>
              </w:rPr>
              <w:t>Coastal</w:t>
            </w:r>
          </w:p>
        </w:tc>
        <w:tc>
          <w:tcPr>
            <w:tcW w:w="1161" w:type="dxa"/>
            <w:tcBorders>
              <w:top w:val="nil"/>
              <w:left w:val="nil"/>
              <w:bottom w:val="nil"/>
              <w:right w:val="single" w:sz="4" w:space="0" w:color="auto"/>
            </w:tcBorders>
            <w:shd w:val="clear" w:color="000000" w:fill="FFFFFF"/>
            <w:noWrap/>
            <w:vAlign w:val="bottom"/>
            <w:hideMark/>
          </w:tcPr>
          <w:p w14:paraId="31BE28DC" w14:textId="77777777" w:rsidR="001A3F23" w:rsidRPr="001A3F23" w:rsidRDefault="001A3F23" w:rsidP="001A3F23">
            <w:pPr>
              <w:jc w:val="center"/>
              <w:rPr>
                <w:rFonts w:cs="Calibri"/>
                <w:sz w:val="22"/>
                <w:szCs w:val="22"/>
              </w:rPr>
            </w:pPr>
            <w:r w:rsidRPr="001A3F23">
              <w:rPr>
                <w:rFonts w:cs="Calibri"/>
                <w:sz w:val="22"/>
                <w:szCs w:val="22"/>
              </w:rPr>
              <w:t>2,701</w:t>
            </w:r>
          </w:p>
        </w:tc>
        <w:tc>
          <w:tcPr>
            <w:tcW w:w="1096" w:type="dxa"/>
            <w:tcBorders>
              <w:top w:val="nil"/>
              <w:left w:val="nil"/>
              <w:bottom w:val="nil"/>
              <w:right w:val="single" w:sz="4" w:space="0" w:color="auto"/>
            </w:tcBorders>
            <w:shd w:val="clear" w:color="000000" w:fill="FFFFFF"/>
            <w:noWrap/>
            <w:vAlign w:val="bottom"/>
            <w:hideMark/>
          </w:tcPr>
          <w:p w14:paraId="673258A3" w14:textId="77777777" w:rsidR="001A3F23" w:rsidRPr="001A3F23" w:rsidRDefault="001A3F23" w:rsidP="001A3F23">
            <w:pPr>
              <w:jc w:val="center"/>
              <w:rPr>
                <w:rFonts w:cs="Calibri"/>
                <w:sz w:val="22"/>
                <w:szCs w:val="22"/>
              </w:rPr>
            </w:pPr>
            <w:r w:rsidRPr="001A3F23">
              <w:rPr>
                <w:rFonts w:cs="Calibri"/>
                <w:sz w:val="22"/>
                <w:szCs w:val="22"/>
              </w:rPr>
              <w:t>2.22</w:t>
            </w:r>
          </w:p>
        </w:tc>
        <w:tc>
          <w:tcPr>
            <w:tcW w:w="1096" w:type="dxa"/>
            <w:tcBorders>
              <w:top w:val="nil"/>
              <w:left w:val="nil"/>
              <w:bottom w:val="nil"/>
              <w:right w:val="single" w:sz="4" w:space="0" w:color="auto"/>
            </w:tcBorders>
            <w:shd w:val="clear" w:color="000000" w:fill="FFFFFF"/>
            <w:noWrap/>
            <w:vAlign w:val="bottom"/>
            <w:hideMark/>
          </w:tcPr>
          <w:p w14:paraId="117F4174" w14:textId="77777777" w:rsidR="001A3F23" w:rsidRPr="001A3F23" w:rsidRDefault="001A3F23" w:rsidP="001A3F23">
            <w:pPr>
              <w:jc w:val="center"/>
              <w:rPr>
                <w:rFonts w:cs="Calibri"/>
                <w:sz w:val="22"/>
                <w:szCs w:val="22"/>
              </w:rPr>
            </w:pPr>
            <w:r w:rsidRPr="001A3F23">
              <w:rPr>
                <w:rFonts w:cs="Calibri"/>
                <w:sz w:val="22"/>
                <w:szCs w:val="22"/>
              </w:rPr>
              <w:t>0.14</w:t>
            </w:r>
          </w:p>
        </w:tc>
        <w:tc>
          <w:tcPr>
            <w:tcW w:w="958" w:type="dxa"/>
            <w:tcBorders>
              <w:top w:val="nil"/>
              <w:left w:val="nil"/>
              <w:bottom w:val="nil"/>
              <w:right w:val="single" w:sz="4" w:space="0" w:color="auto"/>
            </w:tcBorders>
            <w:shd w:val="clear" w:color="000000" w:fill="FFFFFF"/>
            <w:noWrap/>
            <w:vAlign w:val="bottom"/>
            <w:hideMark/>
          </w:tcPr>
          <w:p w14:paraId="59FEC99E" w14:textId="36C20987" w:rsidR="001A3F23" w:rsidRPr="001A3F23" w:rsidRDefault="001A3F23" w:rsidP="001A3F23">
            <w:pPr>
              <w:jc w:val="center"/>
              <w:rPr>
                <w:rFonts w:cs="Calibri"/>
                <w:sz w:val="22"/>
                <w:szCs w:val="22"/>
              </w:rPr>
            </w:pPr>
            <w:r w:rsidRPr="001A3F23">
              <w:rPr>
                <w:rFonts w:cs="Calibri"/>
                <w:sz w:val="22"/>
                <w:szCs w:val="22"/>
              </w:rPr>
              <w:t>0.81</w:t>
            </w:r>
          </w:p>
        </w:tc>
        <w:tc>
          <w:tcPr>
            <w:tcW w:w="978" w:type="dxa"/>
            <w:tcBorders>
              <w:top w:val="nil"/>
              <w:left w:val="nil"/>
              <w:bottom w:val="nil"/>
              <w:right w:val="single" w:sz="4" w:space="0" w:color="auto"/>
            </w:tcBorders>
            <w:shd w:val="clear" w:color="000000" w:fill="FFFFFF"/>
            <w:noWrap/>
            <w:vAlign w:val="bottom"/>
            <w:hideMark/>
          </w:tcPr>
          <w:p w14:paraId="1E89A15F" w14:textId="77777777" w:rsidR="001A3F23" w:rsidRPr="001A3F23" w:rsidRDefault="001A3F23" w:rsidP="001A3F23">
            <w:pPr>
              <w:jc w:val="center"/>
              <w:rPr>
                <w:rFonts w:cs="Calibri"/>
                <w:sz w:val="22"/>
                <w:szCs w:val="22"/>
              </w:rPr>
            </w:pPr>
            <w:r w:rsidRPr="001A3F23">
              <w:rPr>
                <w:rFonts w:cs="Calibri"/>
                <w:sz w:val="22"/>
                <w:szCs w:val="22"/>
              </w:rPr>
              <w:t>0.051</w:t>
            </w:r>
          </w:p>
        </w:tc>
        <w:tc>
          <w:tcPr>
            <w:tcW w:w="978" w:type="dxa"/>
            <w:tcBorders>
              <w:top w:val="nil"/>
              <w:left w:val="nil"/>
              <w:bottom w:val="nil"/>
              <w:right w:val="single" w:sz="4" w:space="0" w:color="auto"/>
            </w:tcBorders>
            <w:shd w:val="clear" w:color="000000" w:fill="FFFFFF"/>
            <w:noWrap/>
            <w:vAlign w:val="bottom"/>
            <w:hideMark/>
          </w:tcPr>
          <w:p w14:paraId="21006D5D" w14:textId="77777777" w:rsidR="001A3F23" w:rsidRPr="001A3F23" w:rsidRDefault="001A3F23" w:rsidP="001A3F23">
            <w:pPr>
              <w:jc w:val="center"/>
              <w:rPr>
                <w:rFonts w:cs="Calibri"/>
                <w:sz w:val="22"/>
                <w:szCs w:val="22"/>
              </w:rPr>
            </w:pPr>
            <w:r w:rsidRPr="001A3F23">
              <w:rPr>
                <w:rFonts w:cs="Calibri"/>
                <w:sz w:val="22"/>
                <w:szCs w:val="22"/>
              </w:rPr>
              <w:t>6.3%</w:t>
            </w:r>
          </w:p>
        </w:tc>
        <w:tc>
          <w:tcPr>
            <w:tcW w:w="978" w:type="dxa"/>
            <w:tcBorders>
              <w:top w:val="nil"/>
              <w:left w:val="nil"/>
              <w:bottom w:val="nil"/>
              <w:right w:val="single" w:sz="4" w:space="0" w:color="auto"/>
            </w:tcBorders>
            <w:shd w:val="clear" w:color="000000" w:fill="FFFFFF"/>
            <w:noWrap/>
            <w:vAlign w:val="bottom"/>
            <w:hideMark/>
          </w:tcPr>
          <w:p w14:paraId="287056F0" w14:textId="77777777" w:rsidR="001A3F23" w:rsidRPr="001A3F23" w:rsidRDefault="001A3F23" w:rsidP="001A3F23">
            <w:pPr>
              <w:jc w:val="center"/>
              <w:rPr>
                <w:rFonts w:cs="Calibri"/>
                <w:sz w:val="22"/>
                <w:szCs w:val="22"/>
              </w:rPr>
            </w:pPr>
            <w:r w:rsidRPr="001A3F23">
              <w:rPr>
                <w:rFonts w:cs="Calibri"/>
                <w:sz w:val="22"/>
                <w:szCs w:val="22"/>
              </w:rPr>
              <w:t>76</w:t>
            </w:r>
          </w:p>
        </w:tc>
      </w:tr>
      <w:tr w:rsidR="001A3F23" w:rsidRPr="001A3F23" w14:paraId="45DF8FB0" w14:textId="77777777" w:rsidTr="00E80973">
        <w:trPr>
          <w:trHeight w:val="19"/>
          <w:jc w:val="center"/>
        </w:trPr>
        <w:tc>
          <w:tcPr>
            <w:tcW w:w="991" w:type="dxa"/>
            <w:vMerge/>
            <w:tcBorders>
              <w:top w:val="nil"/>
              <w:left w:val="single" w:sz="4" w:space="0" w:color="auto"/>
              <w:bottom w:val="double" w:sz="6" w:space="0" w:color="000000"/>
              <w:right w:val="nil"/>
            </w:tcBorders>
            <w:vAlign w:val="center"/>
            <w:hideMark/>
          </w:tcPr>
          <w:p w14:paraId="1159958F" w14:textId="77777777" w:rsidR="001A3F23" w:rsidRPr="001A3F23" w:rsidRDefault="001A3F23" w:rsidP="001A3F23">
            <w:pPr>
              <w:rPr>
                <w:rFonts w:cs="Calibri"/>
                <w:sz w:val="22"/>
                <w:szCs w:val="22"/>
              </w:rPr>
            </w:pPr>
          </w:p>
        </w:tc>
        <w:tc>
          <w:tcPr>
            <w:tcW w:w="979" w:type="dxa"/>
            <w:tcBorders>
              <w:top w:val="nil"/>
              <w:left w:val="single" w:sz="4" w:space="0" w:color="auto"/>
              <w:bottom w:val="nil"/>
              <w:right w:val="single" w:sz="4" w:space="0" w:color="auto"/>
            </w:tcBorders>
            <w:shd w:val="clear" w:color="000000" w:fill="FFFFFF"/>
            <w:noWrap/>
            <w:vAlign w:val="bottom"/>
            <w:hideMark/>
          </w:tcPr>
          <w:p w14:paraId="34CB492B" w14:textId="77777777" w:rsidR="001A3F23" w:rsidRPr="001A3F23" w:rsidRDefault="001A3F23" w:rsidP="001A3F23">
            <w:pPr>
              <w:jc w:val="center"/>
              <w:rPr>
                <w:rFonts w:cs="Calibri"/>
                <w:sz w:val="22"/>
                <w:szCs w:val="22"/>
              </w:rPr>
            </w:pPr>
            <w:r w:rsidRPr="001A3F23">
              <w:rPr>
                <w:rFonts w:cs="Calibri"/>
                <w:sz w:val="22"/>
                <w:szCs w:val="22"/>
              </w:rPr>
              <w:t>Inland</w:t>
            </w:r>
          </w:p>
        </w:tc>
        <w:tc>
          <w:tcPr>
            <w:tcW w:w="1161" w:type="dxa"/>
            <w:tcBorders>
              <w:top w:val="nil"/>
              <w:left w:val="nil"/>
              <w:bottom w:val="nil"/>
              <w:right w:val="single" w:sz="4" w:space="0" w:color="auto"/>
            </w:tcBorders>
            <w:shd w:val="clear" w:color="000000" w:fill="FFFFFF"/>
            <w:noWrap/>
            <w:vAlign w:val="bottom"/>
            <w:hideMark/>
          </w:tcPr>
          <w:p w14:paraId="75C2D5A1" w14:textId="77777777" w:rsidR="001A3F23" w:rsidRPr="001A3F23" w:rsidRDefault="001A3F23" w:rsidP="001A3F23">
            <w:pPr>
              <w:jc w:val="center"/>
              <w:rPr>
                <w:rFonts w:cs="Calibri"/>
                <w:sz w:val="22"/>
                <w:szCs w:val="22"/>
              </w:rPr>
            </w:pPr>
            <w:r w:rsidRPr="001A3F23">
              <w:rPr>
                <w:rFonts w:cs="Calibri"/>
                <w:sz w:val="22"/>
                <w:szCs w:val="22"/>
              </w:rPr>
              <w:t>1,948</w:t>
            </w:r>
          </w:p>
        </w:tc>
        <w:tc>
          <w:tcPr>
            <w:tcW w:w="1096" w:type="dxa"/>
            <w:tcBorders>
              <w:top w:val="nil"/>
              <w:left w:val="nil"/>
              <w:bottom w:val="nil"/>
              <w:right w:val="single" w:sz="4" w:space="0" w:color="auto"/>
            </w:tcBorders>
            <w:shd w:val="clear" w:color="000000" w:fill="FFFFFF"/>
            <w:noWrap/>
            <w:vAlign w:val="bottom"/>
            <w:hideMark/>
          </w:tcPr>
          <w:p w14:paraId="4E8A679D" w14:textId="77777777" w:rsidR="001A3F23" w:rsidRPr="001A3F23" w:rsidRDefault="001A3F23" w:rsidP="001A3F23">
            <w:pPr>
              <w:jc w:val="center"/>
              <w:rPr>
                <w:rFonts w:cs="Calibri"/>
                <w:sz w:val="22"/>
                <w:szCs w:val="22"/>
              </w:rPr>
            </w:pPr>
            <w:r w:rsidRPr="001A3F23">
              <w:rPr>
                <w:rFonts w:cs="Calibri"/>
                <w:sz w:val="22"/>
                <w:szCs w:val="22"/>
              </w:rPr>
              <w:t>1.98</w:t>
            </w:r>
          </w:p>
        </w:tc>
        <w:tc>
          <w:tcPr>
            <w:tcW w:w="1096" w:type="dxa"/>
            <w:tcBorders>
              <w:top w:val="nil"/>
              <w:left w:val="nil"/>
              <w:bottom w:val="nil"/>
              <w:right w:val="single" w:sz="4" w:space="0" w:color="auto"/>
            </w:tcBorders>
            <w:shd w:val="clear" w:color="000000" w:fill="FFFFFF"/>
            <w:noWrap/>
            <w:vAlign w:val="bottom"/>
            <w:hideMark/>
          </w:tcPr>
          <w:p w14:paraId="2EB5E20E" w14:textId="77777777" w:rsidR="001A3F23" w:rsidRPr="001A3F23" w:rsidRDefault="001A3F23" w:rsidP="001A3F23">
            <w:pPr>
              <w:jc w:val="center"/>
              <w:rPr>
                <w:rFonts w:cs="Calibri"/>
                <w:sz w:val="22"/>
                <w:szCs w:val="22"/>
              </w:rPr>
            </w:pPr>
            <w:r w:rsidRPr="001A3F23">
              <w:rPr>
                <w:rFonts w:cs="Calibri"/>
                <w:sz w:val="22"/>
                <w:szCs w:val="22"/>
              </w:rPr>
              <w:t>0.11</w:t>
            </w:r>
          </w:p>
        </w:tc>
        <w:tc>
          <w:tcPr>
            <w:tcW w:w="958" w:type="dxa"/>
            <w:tcBorders>
              <w:top w:val="nil"/>
              <w:left w:val="nil"/>
              <w:bottom w:val="nil"/>
              <w:right w:val="single" w:sz="4" w:space="0" w:color="auto"/>
            </w:tcBorders>
            <w:shd w:val="clear" w:color="000000" w:fill="FFFFFF"/>
            <w:noWrap/>
            <w:vAlign w:val="bottom"/>
            <w:hideMark/>
          </w:tcPr>
          <w:p w14:paraId="12ADFBC5" w14:textId="043DB44F" w:rsidR="001A3F23" w:rsidRPr="001A3F23" w:rsidRDefault="001A3F23" w:rsidP="001A3F23">
            <w:pPr>
              <w:jc w:val="center"/>
              <w:rPr>
                <w:rFonts w:cs="Calibri"/>
                <w:sz w:val="22"/>
                <w:szCs w:val="22"/>
              </w:rPr>
            </w:pPr>
            <w:r w:rsidRPr="001A3F23">
              <w:rPr>
                <w:rFonts w:cs="Calibri"/>
                <w:sz w:val="22"/>
                <w:szCs w:val="22"/>
              </w:rPr>
              <w:t>1.00</w:t>
            </w:r>
          </w:p>
        </w:tc>
        <w:tc>
          <w:tcPr>
            <w:tcW w:w="978" w:type="dxa"/>
            <w:tcBorders>
              <w:top w:val="nil"/>
              <w:left w:val="nil"/>
              <w:bottom w:val="nil"/>
              <w:right w:val="single" w:sz="4" w:space="0" w:color="auto"/>
            </w:tcBorders>
            <w:shd w:val="clear" w:color="000000" w:fill="FFFFFF"/>
            <w:noWrap/>
            <w:vAlign w:val="bottom"/>
            <w:hideMark/>
          </w:tcPr>
          <w:p w14:paraId="37A06F63" w14:textId="77777777" w:rsidR="001A3F23" w:rsidRPr="001A3F23" w:rsidRDefault="001A3F23" w:rsidP="001A3F23">
            <w:pPr>
              <w:jc w:val="center"/>
              <w:rPr>
                <w:rFonts w:cs="Calibri"/>
                <w:sz w:val="22"/>
                <w:szCs w:val="22"/>
              </w:rPr>
            </w:pPr>
            <w:r w:rsidRPr="001A3F23">
              <w:rPr>
                <w:rFonts w:cs="Calibri"/>
                <w:sz w:val="22"/>
                <w:szCs w:val="22"/>
              </w:rPr>
              <w:t>0.055</w:t>
            </w:r>
          </w:p>
        </w:tc>
        <w:tc>
          <w:tcPr>
            <w:tcW w:w="978" w:type="dxa"/>
            <w:tcBorders>
              <w:top w:val="nil"/>
              <w:left w:val="nil"/>
              <w:bottom w:val="nil"/>
              <w:right w:val="single" w:sz="4" w:space="0" w:color="auto"/>
            </w:tcBorders>
            <w:shd w:val="clear" w:color="000000" w:fill="FFFFFF"/>
            <w:noWrap/>
            <w:vAlign w:val="bottom"/>
            <w:hideMark/>
          </w:tcPr>
          <w:p w14:paraId="20DDF2FF" w14:textId="77777777" w:rsidR="001A3F23" w:rsidRPr="001A3F23" w:rsidRDefault="001A3F23" w:rsidP="001A3F23">
            <w:pPr>
              <w:jc w:val="center"/>
              <w:rPr>
                <w:rFonts w:cs="Calibri"/>
                <w:sz w:val="22"/>
                <w:szCs w:val="22"/>
              </w:rPr>
            </w:pPr>
            <w:r w:rsidRPr="001A3F23">
              <w:rPr>
                <w:rFonts w:cs="Calibri"/>
                <w:sz w:val="22"/>
                <w:szCs w:val="22"/>
              </w:rPr>
              <w:t>5.5%</w:t>
            </w:r>
          </w:p>
        </w:tc>
        <w:tc>
          <w:tcPr>
            <w:tcW w:w="978" w:type="dxa"/>
            <w:tcBorders>
              <w:top w:val="nil"/>
              <w:left w:val="nil"/>
              <w:bottom w:val="nil"/>
              <w:right w:val="single" w:sz="4" w:space="0" w:color="auto"/>
            </w:tcBorders>
            <w:shd w:val="clear" w:color="000000" w:fill="FFFFFF"/>
            <w:noWrap/>
            <w:vAlign w:val="bottom"/>
            <w:hideMark/>
          </w:tcPr>
          <w:p w14:paraId="7DBFE5CB" w14:textId="77777777" w:rsidR="001A3F23" w:rsidRPr="001A3F23" w:rsidRDefault="001A3F23" w:rsidP="001A3F23">
            <w:pPr>
              <w:jc w:val="center"/>
              <w:rPr>
                <w:rFonts w:cs="Calibri"/>
                <w:sz w:val="22"/>
                <w:szCs w:val="22"/>
              </w:rPr>
            </w:pPr>
            <w:r w:rsidRPr="001A3F23">
              <w:rPr>
                <w:rFonts w:cs="Calibri"/>
                <w:sz w:val="22"/>
                <w:szCs w:val="22"/>
              </w:rPr>
              <w:t>78</w:t>
            </w:r>
          </w:p>
        </w:tc>
      </w:tr>
      <w:tr w:rsidR="001A3F23" w:rsidRPr="001A3F23" w14:paraId="607539BC" w14:textId="77777777" w:rsidTr="00E80973">
        <w:trPr>
          <w:trHeight w:val="19"/>
          <w:jc w:val="center"/>
        </w:trPr>
        <w:tc>
          <w:tcPr>
            <w:tcW w:w="991" w:type="dxa"/>
            <w:vMerge/>
            <w:tcBorders>
              <w:top w:val="nil"/>
              <w:left w:val="single" w:sz="4" w:space="0" w:color="auto"/>
              <w:bottom w:val="double" w:sz="6" w:space="0" w:color="000000"/>
              <w:right w:val="nil"/>
            </w:tcBorders>
            <w:vAlign w:val="center"/>
            <w:hideMark/>
          </w:tcPr>
          <w:p w14:paraId="2C981EFE" w14:textId="77777777" w:rsidR="001A3F23" w:rsidRPr="001A3F23" w:rsidRDefault="001A3F23" w:rsidP="001A3F23">
            <w:pPr>
              <w:rPr>
                <w:rFonts w:cs="Calibri"/>
                <w:sz w:val="22"/>
                <w:szCs w:val="22"/>
              </w:rPr>
            </w:pPr>
          </w:p>
        </w:tc>
        <w:tc>
          <w:tcPr>
            <w:tcW w:w="979" w:type="dxa"/>
            <w:tcBorders>
              <w:top w:val="nil"/>
              <w:left w:val="single" w:sz="4" w:space="0" w:color="auto"/>
              <w:bottom w:val="double" w:sz="6" w:space="0" w:color="auto"/>
              <w:right w:val="single" w:sz="4" w:space="0" w:color="auto"/>
            </w:tcBorders>
            <w:shd w:val="clear" w:color="000000" w:fill="FFFFFF"/>
            <w:noWrap/>
            <w:vAlign w:val="bottom"/>
            <w:hideMark/>
          </w:tcPr>
          <w:p w14:paraId="62E9B7C2" w14:textId="77777777" w:rsidR="001A3F23" w:rsidRPr="00237521" w:rsidRDefault="001A3F23" w:rsidP="001A3F23">
            <w:pPr>
              <w:jc w:val="center"/>
              <w:rPr>
                <w:rFonts w:cs="Calibri"/>
                <w:b/>
                <w:sz w:val="22"/>
                <w:szCs w:val="22"/>
              </w:rPr>
            </w:pPr>
            <w:r w:rsidRPr="00237521">
              <w:rPr>
                <w:rFonts w:cs="Calibri"/>
                <w:b/>
                <w:sz w:val="22"/>
                <w:szCs w:val="22"/>
              </w:rPr>
              <w:t>All</w:t>
            </w:r>
          </w:p>
        </w:tc>
        <w:tc>
          <w:tcPr>
            <w:tcW w:w="1161" w:type="dxa"/>
            <w:tcBorders>
              <w:top w:val="nil"/>
              <w:left w:val="nil"/>
              <w:bottom w:val="double" w:sz="6" w:space="0" w:color="auto"/>
              <w:right w:val="single" w:sz="4" w:space="0" w:color="auto"/>
            </w:tcBorders>
            <w:shd w:val="clear" w:color="000000" w:fill="FFFFFF"/>
            <w:noWrap/>
            <w:vAlign w:val="bottom"/>
            <w:hideMark/>
          </w:tcPr>
          <w:p w14:paraId="3B3B843D" w14:textId="77777777" w:rsidR="001A3F23" w:rsidRPr="00237521" w:rsidRDefault="001A3F23" w:rsidP="001A3F23">
            <w:pPr>
              <w:jc w:val="center"/>
              <w:rPr>
                <w:rFonts w:cs="Calibri"/>
                <w:b/>
                <w:sz w:val="22"/>
                <w:szCs w:val="22"/>
              </w:rPr>
            </w:pPr>
            <w:r w:rsidRPr="00237521">
              <w:rPr>
                <w:rFonts w:cs="Calibri"/>
                <w:b/>
                <w:sz w:val="22"/>
                <w:szCs w:val="22"/>
              </w:rPr>
              <w:t>4,650</w:t>
            </w:r>
          </w:p>
        </w:tc>
        <w:tc>
          <w:tcPr>
            <w:tcW w:w="1096" w:type="dxa"/>
            <w:tcBorders>
              <w:top w:val="nil"/>
              <w:left w:val="nil"/>
              <w:bottom w:val="double" w:sz="6" w:space="0" w:color="auto"/>
              <w:right w:val="single" w:sz="4" w:space="0" w:color="auto"/>
            </w:tcBorders>
            <w:shd w:val="clear" w:color="000000" w:fill="FFFFFF"/>
            <w:noWrap/>
            <w:vAlign w:val="bottom"/>
            <w:hideMark/>
          </w:tcPr>
          <w:p w14:paraId="754CEE2D" w14:textId="77777777" w:rsidR="001A3F23" w:rsidRPr="00237521" w:rsidRDefault="001A3F23" w:rsidP="001A3F23">
            <w:pPr>
              <w:jc w:val="center"/>
              <w:rPr>
                <w:rFonts w:cs="Calibri"/>
                <w:b/>
                <w:sz w:val="22"/>
                <w:szCs w:val="22"/>
              </w:rPr>
            </w:pPr>
            <w:r w:rsidRPr="00237521">
              <w:rPr>
                <w:rFonts w:cs="Calibri"/>
                <w:b/>
                <w:sz w:val="22"/>
                <w:szCs w:val="22"/>
              </w:rPr>
              <w:t>4.21</w:t>
            </w:r>
          </w:p>
        </w:tc>
        <w:tc>
          <w:tcPr>
            <w:tcW w:w="1096" w:type="dxa"/>
            <w:tcBorders>
              <w:top w:val="nil"/>
              <w:left w:val="nil"/>
              <w:bottom w:val="double" w:sz="6" w:space="0" w:color="auto"/>
              <w:right w:val="single" w:sz="4" w:space="0" w:color="auto"/>
            </w:tcBorders>
            <w:shd w:val="clear" w:color="000000" w:fill="FFFFFF"/>
            <w:noWrap/>
            <w:vAlign w:val="bottom"/>
            <w:hideMark/>
          </w:tcPr>
          <w:p w14:paraId="235A2245" w14:textId="77777777" w:rsidR="001A3F23" w:rsidRPr="00237521" w:rsidRDefault="001A3F23" w:rsidP="001A3F23">
            <w:pPr>
              <w:jc w:val="center"/>
              <w:rPr>
                <w:rFonts w:cs="Calibri"/>
                <w:b/>
                <w:sz w:val="22"/>
                <w:szCs w:val="22"/>
              </w:rPr>
            </w:pPr>
            <w:r w:rsidRPr="00237521">
              <w:rPr>
                <w:rFonts w:cs="Calibri"/>
                <w:b/>
                <w:sz w:val="22"/>
                <w:szCs w:val="22"/>
              </w:rPr>
              <w:t>0.25</w:t>
            </w:r>
          </w:p>
        </w:tc>
        <w:tc>
          <w:tcPr>
            <w:tcW w:w="958" w:type="dxa"/>
            <w:tcBorders>
              <w:top w:val="nil"/>
              <w:left w:val="nil"/>
              <w:bottom w:val="double" w:sz="6" w:space="0" w:color="auto"/>
              <w:right w:val="single" w:sz="4" w:space="0" w:color="auto"/>
            </w:tcBorders>
            <w:shd w:val="clear" w:color="000000" w:fill="FFFFFF"/>
            <w:noWrap/>
            <w:vAlign w:val="bottom"/>
            <w:hideMark/>
          </w:tcPr>
          <w:p w14:paraId="53E17686" w14:textId="0682583E" w:rsidR="001A3F23" w:rsidRPr="00237521" w:rsidRDefault="001A3F23" w:rsidP="001A3F23">
            <w:pPr>
              <w:jc w:val="center"/>
              <w:rPr>
                <w:rFonts w:cs="Calibri"/>
                <w:b/>
                <w:sz w:val="22"/>
                <w:szCs w:val="22"/>
              </w:rPr>
            </w:pPr>
            <w:r w:rsidRPr="00237521">
              <w:rPr>
                <w:rFonts w:cs="Calibri"/>
                <w:b/>
                <w:sz w:val="22"/>
                <w:szCs w:val="22"/>
              </w:rPr>
              <w:t>0.89</w:t>
            </w:r>
          </w:p>
        </w:tc>
        <w:tc>
          <w:tcPr>
            <w:tcW w:w="978" w:type="dxa"/>
            <w:tcBorders>
              <w:top w:val="nil"/>
              <w:left w:val="nil"/>
              <w:bottom w:val="double" w:sz="6" w:space="0" w:color="auto"/>
              <w:right w:val="single" w:sz="4" w:space="0" w:color="auto"/>
            </w:tcBorders>
            <w:shd w:val="clear" w:color="000000" w:fill="FFFFFF"/>
            <w:noWrap/>
            <w:vAlign w:val="bottom"/>
            <w:hideMark/>
          </w:tcPr>
          <w:p w14:paraId="0B8CDB22" w14:textId="77777777" w:rsidR="001A3F23" w:rsidRPr="00237521" w:rsidRDefault="001A3F23" w:rsidP="001A3F23">
            <w:pPr>
              <w:jc w:val="center"/>
              <w:rPr>
                <w:rFonts w:cs="Calibri"/>
                <w:b/>
                <w:sz w:val="22"/>
                <w:szCs w:val="22"/>
              </w:rPr>
            </w:pPr>
            <w:r w:rsidRPr="00237521">
              <w:rPr>
                <w:rFonts w:cs="Calibri"/>
                <w:b/>
                <w:sz w:val="22"/>
                <w:szCs w:val="22"/>
              </w:rPr>
              <w:t>0.053</w:t>
            </w:r>
          </w:p>
        </w:tc>
        <w:tc>
          <w:tcPr>
            <w:tcW w:w="978" w:type="dxa"/>
            <w:tcBorders>
              <w:top w:val="nil"/>
              <w:left w:val="nil"/>
              <w:bottom w:val="double" w:sz="6" w:space="0" w:color="auto"/>
              <w:right w:val="single" w:sz="4" w:space="0" w:color="auto"/>
            </w:tcBorders>
            <w:shd w:val="clear" w:color="000000" w:fill="FFFFFF"/>
            <w:noWrap/>
            <w:vAlign w:val="bottom"/>
            <w:hideMark/>
          </w:tcPr>
          <w:p w14:paraId="35BF62C5" w14:textId="77777777" w:rsidR="001A3F23" w:rsidRPr="00237521" w:rsidRDefault="001A3F23" w:rsidP="001A3F23">
            <w:pPr>
              <w:jc w:val="center"/>
              <w:rPr>
                <w:rFonts w:cs="Calibri"/>
                <w:b/>
                <w:sz w:val="22"/>
                <w:szCs w:val="22"/>
              </w:rPr>
            </w:pPr>
            <w:r w:rsidRPr="00237521">
              <w:rPr>
                <w:rFonts w:cs="Calibri"/>
                <w:b/>
                <w:sz w:val="22"/>
                <w:szCs w:val="22"/>
              </w:rPr>
              <w:t>5.9%</w:t>
            </w:r>
          </w:p>
        </w:tc>
        <w:tc>
          <w:tcPr>
            <w:tcW w:w="978" w:type="dxa"/>
            <w:tcBorders>
              <w:top w:val="nil"/>
              <w:left w:val="nil"/>
              <w:bottom w:val="double" w:sz="6" w:space="0" w:color="auto"/>
              <w:right w:val="single" w:sz="4" w:space="0" w:color="auto"/>
            </w:tcBorders>
            <w:shd w:val="clear" w:color="000000" w:fill="FFFFFF"/>
            <w:noWrap/>
            <w:vAlign w:val="bottom"/>
            <w:hideMark/>
          </w:tcPr>
          <w:p w14:paraId="0A3CFAFC" w14:textId="77777777" w:rsidR="001A3F23" w:rsidRPr="00237521" w:rsidRDefault="001A3F23" w:rsidP="001A3F23">
            <w:pPr>
              <w:jc w:val="center"/>
              <w:rPr>
                <w:rFonts w:cs="Calibri"/>
                <w:b/>
                <w:sz w:val="22"/>
                <w:szCs w:val="22"/>
              </w:rPr>
            </w:pPr>
            <w:r w:rsidRPr="00237521">
              <w:rPr>
                <w:rFonts w:cs="Calibri"/>
                <w:b/>
                <w:sz w:val="22"/>
                <w:szCs w:val="22"/>
              </w:rPr>
              <w:t>77</w:t>
            </w:r>
          </w:p>
        </w:tc>
      </w:tr>
      <w:tr w:rsidR="001A3F23" w:rsidRPr="001A3F23" w14:paraId="36F5B1C9" w14:textId="77777777" w:rsidTr="00E80973">
        <w:trPr>
          <w:trHeight w:val="19"/>
          <w:jc w:val="center"/>
        </w:trPr>
        <w:tc>
          <w:tcPr>
            <w:tcW w:w="991" w:type="dxa"/>
            <w:vMerge w:val="restart"/>
            <w:tcBorders>
              <w:top w:val="nil"/>
              <w:left w:val="single" w:sz="4" w:space="0" w:color="auto"/>
              <w:bottom w:val="single" w:sz="4" w:space="0" w:color="000000"/>
              <w:right w:val="nil"/>
            </w:tcBorders>
            <w:shd w:val="clear" w:color="auto" w:fill="auto"/>
            <w:vAlign w:val="center"/>
            <w:hideMark/>
          </w:tcPr>
          <w:p w14:paraId="0C34D73D" w14:textId="77777777" w:rsidR="001A3F23" w:rsidRPr="001A3F23" w:rsidRDefault="001A3F23" w:rsidP="001A3F23">
            <w:pPr>
              <w:jc w:val="center"/>
              <w:rPr>
                <w:rFonts w:cs="Calibri"/>
                <w:sz w:val="22"/>
                <w:szCs w:val="22"/>
              </w:rPr>
            </w:pPr>
            <w:r w:rsidRPr="001A3F23">
              <w:rPr>
                <w:rFonts w:cs="Calibri"/>
                <w:sz w:val="22"/>
                <w:szCs w:val="22"/>
              </w:rPr>
              <w:t>Winter</w:t>
            </w:r>
          </w:p>
        </w:tc>
        <w:tc>
          <w:tcPr>
            <w:tcW w:w="979" w:type="dxa"/>
            <w:tcBorders>
              <w:top w:val="nil"/>
              <w:left w:val="single" w:sz="4" w:space="0" w:color="auto"/>
              <w:bottom w:val="nil"/>
              <w:right w:val="single" w:sz="4" w:space="0" w:color="auto"/>
            </w:tcBorders>
            <w:shd w:val="clear" w:color="000000" w:fill="FFFFFF"/>
            <w:noWrap/>
            <w:vAlign w:val="bottom"/>
            <w:hideMark/>
          </w:tcPr>
          <w:p w14:paraId="6231EEE3" w14:textId="77777777" w:rsidR="001A3F23" w:rsidRPr="001A3F23" w:rsidRDefault="001A3F23" w:rsidP="001A3F23">
            <w:pPr>
              <w:jc w:val="center"/>
              <w:rPr>
                <w:rFonts w:cs="Calibri"/>
                <w:sz w:val="22"/>
                <w:szCs w:val="22"/>
              </w:rPr>
            </w:pPr>
            <w:r w:rsidRPr="001A3F23">
              <w:rPr>
                <w:rFonts w:cs="Calibri"/>
                <w:sz w:val="22"/>
                <w:szCs w:val="22"/>
              </w:rPr>
              <w:t>Coastal</w:t>
            </w:r>
          </w:p>
        </w:tc>
        <w:tc>
          <w:tcPr>
            <w:tcW w:w="1161" w:type="dxa"/>
            <w:tcBorders>
              <w:top w:val="nil"/>
              <w:left w:val="nil"/>
              <w:bottom w:val="nil"/>
              <w:right w:val="single" w:sz="4" w:space="0" w:color="auto"/>
            </w:tcBorders>
            <w:shd w:val="clear" w:color="000000" w:fill="FFFFFF"/>
            <w:noWrap/>
            <w:vAlign w:val="bottom"/>
            <w:hideMark/>
          </w:tcPr>
          <w:p w14:paraId="30A66F5B" w14:textId="77777777" w:rsidR="001A3F23" w:rsidRPr="001A3F23" w:rsidRDefault="001A3F23" w:rsidP="001A3F23">
            <w:pPr>
              <w:jc w:val="center"/>
              <w:rPr>
                <w:rFonts w:cs="Calibri"/>
                <w:sz w:val="22"/>
                <w:szCs w:val="22"/>
              </w:rPr>
            </w:pPr>
            <w:r w:rsidRPr="001A3F23">
              <w:rPr>
                <w:rFonts w:cs="Calibri"/>
                <w:sz w:val="22"/>
                <w:szCs w:val="22"/>
              </w:rPr>
              <w:t>1,973</w:t>
            </w:r>
          </w:p>
        </w:tc>
        <w:tc>
          <w:tcPr>
            <w:tcW w:w="1096" w:type="dxa"/>
            <w:tcBorders>
              <w:top w:val="nil"/>
              <w:left w:val="nil"/>
              <w:bottom w:val="nil"/>
              <w:right w:val="single" w:sz="4" w:space="0" w:color="auto"/>
            </w:tcBorders>
            <w:shd w:val="clear" w:color="000000" w:fill="FFFFFF"/>
            <w:noWrap/>
            <w:vAlign w:val="bottom"/>
            <w:hideMark/>
          </w:tcPr>
          <w:p w14:paraId="7C0AB751" w14:textId="77777777" w:rsidR="001A3F23" w:rsidRPr="001A3F23" w:rsidRDefault="001A3F23" w:rsidP="001A3F23">
            <w:pPr>
              <w:jc w:val="center"/>
              <w:rPr>
                <w:rFonts w:cs="Calibri"/>
                <w:sz w:val="22"/>
                <w:szCs w:val="22"/>
              </w:rPr>
            </w:pPr>
            <w:r w:rsidRPr="001A3F23">
              <w:rPr>
                <w:rFonts w:cs="Calibri"/>
                <w:sz w:val="22"/>
                <w:szCs w:val="22"/>
              </w:rPr>
              <w:t>1.78</w:t>
            </w:r>
          </w:p>
        </w:tc>
        <w:tc>
          <w:tcPr>
            <w:tcW w:w="1096" w:type="dxa"/>
            <w:tcBorders>
              <w:top w:val="nil"/>
              <w:left w:val="nil"/>
              <w:bottom w:val="nil"/>
              <w:right w:val="single" w:sz="4" w:space="0" w:color="auto"/>
            </w:tcBorders>
            <w:shd w:val="clear" w:color="000000" w:fill="FFFFFF"/>
            <w:noWrap/>
            <w:vAlign w:val="bottom"/>
            <w:hideMark/>
          </w:tcPr>
          <w:p w14:paraId="4227A6A5" w14:textId="77777777" w:rsidR="001A3F23" w:rsidRPr="001A3F23" w:rsidRDefault="001A3F23" w:rsidP="001A3F23">
            <w:pPr>
              <w:jc w:val="center"/>
              <w:rPr>
                <w:rFonts w:cs="Calibri"/>
                <w:sz w:val="22"/>
                <w:szCs w:val="22"/>
              </w:rPr>
            </w:pPr>
            <w:r w:rsidRPr="001A3F23">
              <w:rPr>
                <w:rFonts w:cs="Calibri"/>
                <w:sz w:val="22"/>
                <w:szCs w:val="22"/>
              </w:rPr>
              <w:t>0.04</w:t>
            </w:r>
          </w:p>
        </w:tc>
        <w:tc>
          <w:tcPr>
            <w:tcW w:w="958" w:type="dxa"/>
            <w:tcBorders>
              <w:top w:val="nil"/>
              <w:left w:val="nil"/>
              <w:bottom w:val="nil"/>
              <w:right w:val="single" w:sz="4" w:space="0" w:color="auto"/>
            </w:tcBorders>
            <w:shd w:val="clear" w:color="000000" w:fill="FFFFFF"/>
            <w:noWrap/>
            <w:vAlign w:val="bottom"/>
            <w:hideMark/>
          </w:tcPr>
          <w:p w14:paraId="0630EA7A" w14:textId="0199F9C7" w:rsidR="001A3F23" w:rsidRPr="001A3F23" w:rsidRDefault="001A3F23" w:rsidP="001A3F23">
            <w:pPr>
              <w:jc w:val="center"/>
              <w:rPr>
                <w:rFonts w:cs="Calibri"/>
                <w:sz w:val="22"/>
                <w:szCs w:val="22"/>
              </w:rPr>
            </w:pPr>
            <w:r w:rsidRPr="001A3F23">
              <w:rPr>
                <w:rFonts w:cs="Calibri"/>
                <w:sz w:val="22"/>
                <w:szCs w:val="22"/>
              </w:rPr>
              <w:t>0.90</w:t>
            </w:r>
          </w:p>
        </w:tc>
        <w:tc>
          <w:tcPr>
            <w:tcW w:w="978" w:type="dxa"/>
            <w:tcBorders>
              <w:top w:val="nil"/>
              <w:left w:val="nil"/>
              <w:bottom w:val="nil"/>
              <w:right w:val="single" w:sz="4" w:space="0" w:color="auto"/>
            </w:tcBorders>
            <w:shd w:val="clear" w:color="000000" w:fill="FFFFFF"/>
            <w:noWrap/>
            <w:vAlign w:val="bottom"/>
            <w:hideMark/>
          </w:tcPr>
          <w:p w14:paraId="1D9FF854" w14:textId="77777777" w:rsidR="001A3F23" w:rsidRPr="001A3F23" w:rsidRDefault="001A3F23" w:rsidP="001A3F23">
            <w:pPr>
              <w:jc w:val="center"/>
              <w:rPr>
                <w:rFonts w:cs="Calibri"/>
                <w:sz w:val="22"/>
                <w:szCs w:val="22"/>
              </w:rPr>
            </w:pPr>
            <w:r w:rsidRPr="001A3F23">
              <w:rPr>
                <w:rFonts w:cs="Calibri"/>
                <w:sz w:val="22"/>
                <w:szCs w:val="22"/>
              </w:rPr>
              <w:t>0.019</w:t>
            </w:r>
          </w:p>
        </w:tc>
        <w:tc>
          <w:tcPr>
            <w:tcW w:w="978" w:type="dxa"/>
            <w:tcBorders>
              <w:top w:val="nil"/>
              <w:left w:val="nil"/>
              <w:bottom w:val="nil"/>
              <w:right w:val="single" w:sz="4" w:space="0" w:color="auto"/>
            </w:tcBorders>
            <w:shd w:val="clear" w:color="000000" w:fill="FFFFFF"/>
            <w:noWrap/>
            <w:vAlign w:val="bottom"/>
            <w:hideMark/>
          </w:tcPr>
          <w:p w14:paraId="1D067639" w14:textId="77777777" w:rsidR="001A3F23" w:rsidRPr="001A3F23" w:rsidRDefault="001A3F23" w:rsidP="001A3F23">
            <w:pPr>
              <w:jc w:val="center"/>
              <w:rPr>
                <w:rFonts w:cs="Calibri"/>
                <w:sz w:val="22"/>
                <w:szCs w:val="22"/>
              </w:rPr>
            </w:pPr>
            <w:r w:rsidRPr="001A3F23">
              <w:rPr>
                <w:rFonts w:cs="Calibri"/>
                <w:sz w:val="22"/>
                <w:szCs w:val="22"/>
              </w:rPr>
              <w:t>2.2%</w:t>
            </w:r>
          </w:p>
        </w:tc>
        <w:tc>
          <w:tcPr>
            <w:tcW w:w="978" w:type="dxa"/>
            <w:tcBorders>
              <w:top w:val="nil"/>
              <w:left w:val="nil"/>
              <w:bottom w:val="nil"/>
              <w:right w:val="single" w:sz="4" w:space="0" w:color="auto"/>
            </w:tcBorders>
            <w:shd w:val="clear" w:color="000000" w:fill="FFFFFF"/>
            <w:noWrap/>
            <w:vAlign w:val="bottom"/>
            <w:hideMark/>
          </w:tcPr>
          <w:p w14:paraId="1BF23C08" w14:textId="77777777" w:rsidR="001A3F23" w:rsidRPr="001A3F23" w:rsidRDefault="001A3F23" w:rsidP="001A3F23">
            <w:pPr>
              <w:jc w:val="center"/>
              <w:rPr>
                <w:rFonts w:cs="Calibri"/>
                <w:sz w:val="22"/>
                <w:szCs w:val="22"/>
              </w:rPr>
            </w:pPr>
            <w:r w:rsidRPr="001A3F23">
              <w:rPr>
                <w:rFonts w:cs="Calibri"/>
                <w:sz w:val="22"/>
                <w:szCs w:val="22"/>
              </w:rPr>
              <w:t>63</w:t>
            </w:r>
          </w:p>
        </w:tc>
      </w:tr>
      <w:tr w:rsidR="001A3F23" w:rsidRPr="001A3F23" w14:paraId="5E51B322" w14:textId="77777777" w:rsidTr="00E80973">
        <w:trPr>
          <w:trHeight w:val="19"/>
          <w:jc w:val="center"/>
        </w:trPr>
        <w:tc>
          <w:tcPr>
            <w:tcW w:w="991" w:type="dxa"/>
            <w:vMerge/>
            <w:tcBorders>
              <w:top w:val="nil"/>
              <w:left w:val="single" w:sz="4" w:space="0" w:color="auto"/>
              <w:bottom w:val="single" w:sz="4" w:space="0" w:color="000000"/>
              <w:right w:val="nil"/>
            </w:tcBorders>
            <w:vAlign w:val="center"/>
            <w:hideMark/>
          </w:tcPr>
          <w:p w14:paraId="0AB22C50" w14:textId="77777777" w:rsidR="001A3F23" w:rsidRPr="001A3F23" w:rsidRDefault="001A3F23" w:rsidP="001A3F23">
            <w:pPr>
              <w:rPr>
                <w:rFonts w:cs="Calibri"/>
                <w:sz w:val="22"/>
                <w:szCs w:val="22"/>
              </w:rPr>
            </w:pPr>
          </w:p>
        </w:tc>
        <w:tc>
          <w:tcPr>
            <w:tcW w:w="979" w:type="dxa"/>
            <w:tcBorders>
              <w:top w:val="nil"/>
              <w:left w:val="single" w:sz="4" w:space="0" w:color="auto"/>
              <w:bottom w:val="nil"/>
              <w:right w:val="single" w:sz="4" w:space="0" w:color="auto"/>
            </w:tcBorders>
            <w:shd w:val="clear" w:color="000000" w:fill="FFFFFF"/>
            <w:noWrap/>
            <w:vAlign w:val="bottom"/>
            <w:hideMark/>
          </w:tcPr>
          <w:p w14:paraId="705AA6B1" w14:textId="77777777" w:rsidR="001A3F23" w:rsidRPr="001A3F23" w:rsidRDefault="001A3F23" w:rsidP="001A3F23">
            <w:pPr>
              <w:jc w:val="center"/>
              <w:rPr>
                <w:rFonts w:cs="Calibri"/>
                <w:sz w:val="22"/>
                <w:szCs w:val="22"/>
              </w:rPr>
            </w:pPr>
            <w:r w:rsidRPr="001A3F23">
              <w:rPr>
                <w:rFonts w:cs="Calibri"/>
                <w:sz w:val="22"/>
                <w:szCs w:val="22"/>
              </w:rPr>
              <w:t>Inland</w:t>
            </w:r>
          </w:p>
        </w:tc>
        <w:tc>
          <w:tcPr>
            <w:tcW w:w="1161" w:type="dxa"/>
            <w:tcBorders>
              <w:top w:val="nil"/>
              <w:left w:val="nil"/>
              <w:bottom w:val="nil"/>
              <w:right w:val="single" w:sz="4" w:space="0" w:color="auto"/>
            </w:tcBorders>
            <w:shd w:val="clear" w:color="000000" w:fill="FFFFFF"/>
            <w:noWrap/>
            <w:vAlign w:val="bottom"/>
            <w:hideMark/>
          </w:tcPr>
          <w:p w14:paraId="60B9C5E4" w14:textId="77777777" w:rsidR="001A3F23" w:rsidRPr="001A3F23" w:rsidRDefault="001A3F23" w:rsidP="001A3F23">
            <w:pPr>
              <w:jc w:val="center"/>
              <w:rPr>
                <w:rFonts w:cs="Calibri"/>
                <w:sz w:val="22"/>
                <w:szCs w:val="22"/>
              </w:rPr>
            </w:pPr>
            <w:r w:rsidRPr="001A3F23">
              <w:rPr>
                <w:rFonts w:cs="Calibri"/>
                <w:sz w:val="22"/>
                <w:szCs w:val="22"/>
              </w:rPr>
              <w:t>1,422</w:t>
            </w:r>
          </w:p>
        </w:tc>
        <w:tc>
          <w:tcPr>
            <w:tcW w:w="1096" w:type="dxa"/>
            <w:tcBorders>
              <w:top w:val="nil"/>
              <w:left w:val="nil"/>
              <w:bottom w:val="nil"/>
              <w:right w:val="single" w:sz="4" w:space="0" w:color="auto"/>
            </w:tcBorders>
            <w:shd w:val="clear" w:color="000000" w:fill="FFFFFF"/>
            <w:noWrap/>
            <w:vAlign w:val="bottom"/>
            <w:hideMark/>
          </w:tcPr>
          <w:p w14:paraId="51E9A3C1" w14:textId="77777777" w:rsidR="001A3F23" w:rsidRPr="001A3F23" w:rsidRDefault="001A3F23" w:rsidP="001A3F23">
            <w:pPr>
              <w:jc w:val="center"/>
              <w:rPr>
                <w:rFonts w:cs="Calibri"/>
                <w:sz w:val="22"/>
                <w:szCs w:val="22"/>
              </w:rPr>
            </w:pPr>
            <w:r w:rsidRPr="001A3F23">
              <w:rPr>
                <w:rFonts w:cs="Calibri"/>
                <w:sz w:val="22"/>
                <w:szCs w:val="22"/>
              </w:rPr>
              <w:t>1.38</w:t>
            </w:r>
          </w:p>
        </w:tc>
        <w:tc>
          <w:tcPr>
            <w:tcW w:w="1096" w:type="dxa"/>
            <w:tcBorders>
              <w:top w:val="nil"/>
              <w:left w:val="nil"/>
              <w:bottom w:val="nil"/>
              <w:right w:val="single" w:sz="4" w:space="0" w:color="auto"/>
            </w:tcBorders>
            <w:shd w:val="clear" w:color="000000" w:fill="FFFFFF"/>
            <w:noWrap/>
            <w:vAlign w:val="bottom"/>
            <w:hideMark/>
          </w:tcPr>
          <w:p w14:paraId="0B3BFA7C" w14:textId="77777777" w:rsidR="001A3F23" w:rsidRPr="001A3F23" w:rsidRDefault="001A3F23" w:rsidP="001A3F23">
            <w:pPr>
              <w:jc w:val="center"/>
              <w:rPr>
                <w:rFonts w:cs="Calibri"/>
                <w:sz w:val="22"/>
                <w:szCs w:val="22"/>
              </w:rPr>
            </w:pPr>
            <w:r w:rsidRPr="001A3F23">
              <w:rPr>
                <w:rFonts w:cs="Calibri"/>
                <w:sz w:val="22"/>
                <w:szCs w:val="22"/>
              </w:rPr>
              <w:t>0.05</w:t>
            </w:r>
          </w:p>
        </w:tc>
        <w:tc>
          <w:tcPr>
            <w:tcW w:w="958" w:type="dxa"/>
            <w:tcBorders>
              <w:top w:val="nil"/>
              <w:left w:val="nil"/>
              <w:bottom w:val="nil"/>
              <w:right w:val="single" w:sz="4" w:space="0" w:color="auto"/>
            </w:tcBorders>
            <w:shd w:val="clear" w:color="000000" w:fill="FFFFFF"/>
            <w:noWrap/>
            <w:vAlign w:val="bottom"/>
            <w:hideMark/>
          </w:tcPr>
          <w:p w14:paraId="17051295" w14:textId="1805AE9F" w:rsidR="001A3F23" w:rsidRPr="001A3F23" w:rsidRDefault="001A3F23" w:rsidP="001A3F23">
            <w:pPr>
              <w:jc w:val="center"/>
              <w:rPr>
                <w:rFonts w:cs="Calibri"/>
                <w:sz w:val="22"/>
                <w:szCs w:val="22"/>
              </w:rPr>
            </w:pPr>
            <w:r w:rsidRPr="001A3F23">
              <w:rPr>
                <w:rFonts w:cs="Calibri"/>
                <w:sz w:val="22"/>
                <w:szCs w:val="22"/>
              </w:rPr>
              <w:t>0.97</w:t>
            </w:r>
          </w:p>
        </w:tc>
        <w:tc>
          <w:tcPr>
            <w:tcW w:w="978" w:type="dxa"/>
            <w:tcBorders>
              <w:top w:val="nil"/>
              <w:left w:val="nil"/>
              <w:bottom w:val="nil"/>
              <w:right w:val="single" w:sz="4" w:space="0" w:color="auto"/>
            </w:tcBorders>
            <w:shd w:val="clear" w:color="000000" w:fill="FFFFFF"/>
            <w:noWrap/>
            <w:vAlign w:val="bottom"/>
            <w:hideMark/>
          </w:tcPr>
          <w:p w14:paraId="38A6A610" w14:textId="77777777" w:rsidR="001A3F23" w:rsidRPr="001A3F23" w:rsidRDefault="001A3F23" w:rsidP="001A3F23">
            <w:pPr>
              <w:jc w:val="center"/>
              <w:rPr>
                <w:rFonts w:cs="Calibri"/>
                <w:sz w:val="22"/>
                <w:szCs w:val="22"/>
              </w:rPr>
            </w:pPr>
            <w:r w:rsidRPr="001A3F23">
              <w:rPr>
                <w:rFonts w:cs="Calibri"/>
                <w:sz w:val="22"/>
                <w:szCs w:val="22"/>
              </w:rPr>
              <w:t>0.033</w:t>
            </w:r>
          </w:p>
        </w:tc>
        <w:tc>
          <w:tcPr>
            <w:tcW w:w="978" w:type="dxa"/>
            <w:tcBorders>
              <w:top w:val="nil"/>
              <w:left w:val="nil"/>
              <w:bottom w:val="nil"/>
              <w:right w:val="single" w:sz="4" w:space="0" w:color="auto"/>
            </w:tcBorders>
            <w:shd w:val="clear" w:color="000000" w:fill="FFFFFF"/>
            <w:noWrap/>
            <w:vAlign w:val="bottom"/>
            <w:hideMark/>
          </w:tcPr>
          <w:p w14:paraId="6C3D75AC" w14:textId="77777777" w:rsidR="001A3F23" w:rsidRPr="001A3F23" w:rsidRDefault="001A3F23" w:rsidP="001A3F23">
            <w:pPr>
              <w:jc w:val="center"/>
              <w:rPr>
                <w:rFonts w:cs="Calibri"/>
                <w:sz w:val="22"/>
                <w:szCs w:val="22"/>
              </w:rPr>
            </w:pPr>
            <w:r w:rsidRPr="001A3F23">
              <w:rPr>
                <w:rFonts w:cs="Calibri"/>
                <w:sz w:val="22"/>
                <w:szCs w:val="22"/>
              </w:rPr>
              <w:t>3.4%</w:t>
            </w:r>
          </w:p>
        </w:tc>
        <w:tc>
          <w:tcPr>
            <w:tcW w:w="978" w:type="dxa"/>
            <w:tcBorders>
              <w:top w:val="nil"/>
              <w:left w:val="nil"/>
              <w:bottom w:val="nil"/>
              <w:right w:val="single" w:sz="4" w:space="0" w:color="auto"/>
            </w:tcBorders>
            <w:shd w:val="clear" w:color="000000" w:fill="FFFFFF"/>
            <w:noWrap/>
            <w:vAlign w:val="bottom"/>
            <w:hideMark/>
          </w:tcPr>
          <w:p w14:paraId="0CD83ABA" w14:textId="77777777" w:rsidR="001A3F23" w:rsidRPr="001A3F23" w:rsidRDefault="001A3F23" w:rsidP="001A3F23">
            <w:pPr>
              <w:jc w:val="center"/>
              <w:rPr>
                <w:rFonts w:cs="Calibri"/>
                <w:sz w:val="22"/>
                <w:szCs w:val="22"/>
              </w:rPr>
            </w:pPr>
            <w:r w:rsidRPr="001A3F23">
              <w:rPr>
                <w:rFonts w:cs="Calibri"/>
                <w:sz w:val="22"/>
                <w:szCs w:val="22"/>
              </w:rPr>
              <w:t>62</w:t>
            </w:r>
          </w:p>
        </w:tc>
      </w:tr>
      <w:tr w:rsidR="001A3F23" w:rsidRPr="001A3F23" w14:paraId="288E7522" w14:textId="77777777" w:rsidTr="00E80973">
        <w:trPr>
          <w:trHeight w:val="19"/>
          <w:jc w:val="center"/>
        </w:trPr>
        <w:tc>
          <w:tcPr>
            <w:tcW w:w="991" w:type="dxa"/>
            <w:vMerge/>
            <w:tcBorders>
              <w:top w:val="nil"/>
              <w:left w:val="single" w:sz="4" w:space="0" w:color="auto"/>
              <w:bottom w:val="single" w:sz="4" w:space="0" w:color="000000"/>
              <w:right w:val="nil"/>
            </w:tcBorders>
            <w:vAlign w:val="center"/>
            <w:hideMark/>
          </w:tcPr>
          <w:p w14:paraId="7F51F6B7" w14:textId="77777777" w:rsidR="001A3F23" w:rsidRPr="001A3F23" w:rsidRDefault="001A3F23" w:rsidP="001A3F23">
            <w:pPr>
              <w:rPr>
                <w:rFonts w:cs="Calibri"/>
                <w:sz w:val="22"/>
                <w:szCs w:val="22"/>
              </w:rPr>
            </w:pPr>
          </w:p>
        </w:tc>
        <w:tc>
          <w:tcPr>
            <w:tcW w:w="979" w:type="dxa"/>
            <w:tcBorders>
              <w:top w:val="nil"/>
              <w:left w:val="single" w:sz="4" w:space="0" w:color="auto"/>
              <w:bottom w:val="single" w:sz="4" w:space="0" w:color="auto"/>
              <w:right w:val="single" w:sz="4" w:space="0" w:color="auto"/>
            </w:tcBorders>
            <w:shd w:val="clear" w:color="000000" w:fill="FFFFFF"/>
            <w:noWrap/>
            <w:vAlign w:val="bottom"/>
            <w:hideMark/>
          </w:tcPr>
          <w:p w14:paraId="0672C2BF" w14:textId="77777777" w:rsidR="001A3F23" w:rsidRPr="00237521" w:rsidRDefault="001A3F23" w:rsidP="001A3F23">
            <w:pPr>
              <w:jc w:val="center"/>
              <w:rPr>
                <w:rFonts w:cs="Calibri"/>
                <w:b/>
                <w:sz w:val="22"/>
                <w:szCs w:val="22"/>
              </w:rPr>
            </w:pPr>
            <w:r w:rsidRPr="00237521">
              <w:rPr>
                <w:rFonts w:cs="Calibri"/>
                <w:b/>
                <w:sz w:val="22"/>
                <w:szCs w:val="22"/>
              </w:rPr>
              <w:t>All</w:t>
            </w:r>
          </w:p>
        </w:tc>
        <w:tc>
          <w:tcPr>
            <w:tcW w:w="1161" w:type="dxa"/>
            <w:tcBorders>
              <w:top w:val="nil"/>
              <w:left w:val="nil"/>
              <w:bottom w:val="single" w:sz="4" w:space="0" w:color="auto"/>
              <w:right w:val="single" w:sz="4" w:space="0" w:color="auto"/>
            </w:tcBorders>
            <w:shd w:val="clear" w:color="000000" w:fill="FFFFFF"/>
            <w:noWrap/>
            <w:vAlign w:val="bottom"/>
            <w:hideMark/>
          </w:tcPr>
          <w:p w14:paraId="7BA5BB07" w14:textId="77777777" w:rsidR="001A3F23" w:rsidRPr="00237521" w:rsidRDefault="001A3F23" w:rsidP="001A3F23">
            <w:pPr>
              <w:jc w:val="center"/>
              <w:rPr>
                <w:rFonts w:cs="Calibri"/>
                <w:b/>
                <w:sz w:val="22"/>
                <w:szCs w:val="22"/>
              </w:rPr>
            </w:pPr>
            <w:r w:rsidRPr="00237521">
              <w:rPr>
                <w:rFonts w:cs="Calibri"/>
                <w:b/>
                <w:sz w:val="22"/>
                <w:szCs w:val="22"/>
              </w:rPr>
              <w:t>3,395</w:t>
            </w:r>
          </w:p>
        </w:tc>
        <w:tc>
          <w:tcPr>
            <w:tcW w:w="1096" w:type="dxa"/>
            <w:tcBorders>
              <w:top w:val="nil"/>
              <w:left w:val="nil"/>
              <w:bottom w:val="single" w:sz="4" w:space="0" w:color="auto"/>
              <w:right w:val="single" w:sz="4" w:space="0" w:color="auto"/>
            </w:tcBorders>
            <w:shd w:val="clear" w:color="000000" w:fill="FFFFFF"/>
            <w:noWrap/>
            <w:vAlign w:val="bottom"/>
            <w:hideMark/>
          </w:tcPr>
          <w:p w14:paraId="2004EABD" w14:textId="77777777" w:rsidR="001A3F23" w:rsidRPr="00237521" w:rsidRDefault="001A3F23" w:rsidP="001A3F23">
            <w:pPr>
              <w:jc w:val="center"/>
              <w:rPr>
                <w:rFonts w:cs="Calibri"/>
                <w:b/>
                <w:sz w:val="22"/>
                <w:szCs w:val="22"/>
              </w:rPr>
            </w:pPr>
            <w:r w:rsidRPr="00237521">
              <w:rPr>
                <w:rFonts w:cs="Calibri"/>
                <w:b/>
                <w:sz w:val="22"/>
                <w:szCs w:val="22"/>
              </w:rPr>
              <w:t>3.16</w:t>
            </w:r>
          </w:p>
        </w:tc>
        <w:tc>
          <w:tcPr>
            <w:tcW w:w="1096" w:type="dxa"/>
            <w:tcBorders>
              <w:top w:val="nil"/>
              <w:left w:val="nil"/>
              <w:bottom w:val="single" w:sz="4" w:space="0" w:color="auto"/>
              <w:right w:val="single" w:sz="4" w:space="0" w:color="auto"/>
            </w:tcBorders>
            <w:shd w:val="clear" w:color="000000" w:fill="FFFFFF"/>
            <w:noWrap/>
            <w:vAlign w:val="bottom"/>
            <w:hideMark/>
          </w:tcPr>
          <w:p w14:paraId="77AE1D6A" w14:textId="77777777" w:rsidR="001A3F23" w:rsidRPr="00237521" w:rsidRDefault="001A3F23" w:rsidP="001A3F23">
            <w:pPr>
              <w:jc w:val="center"/>
              <w:rPr>
                <w:rFonts w:cs="Calibri"/>
                <w:b/>
                <w:sz w:val="22"/>
                <w:szCs w:val="22"/>
              </w:rPr>
            </w:pPr>
            <w:r w:rsidRPr="00237521">
              <w:rPr>
                <w:rFonts w:cs="Calibri"/>
                <w:b/>
                <w:sz w:val="22"/>
                <w:szCs w:val="22"/>
              </w:rPr>
              <w:t>0.09</w:t>
            </w:r>
          </w:p>
        </w:tc>
        <w:tc>
          <w:tcPr>
            <w:tcW w:w="958" w:type="dxa"/>
            <w:tcBorders>
              <w:top w:val="nil"/>
              <w:left w:val="nil"/>
              <w:bottom w:val="single" w:sz="4" w:space="0" w:color="auto"/>
              <w:right w:val="single" w:sz="4" w:space="0" w:color="auto"/>
            </w:tcBorders>
            <w:shd w:val="clear" w:color="000000" w:fill="FFFFFF"/>
            <w:noWrap/>
            <w:vAlign w:val="bottom"/>
            <w:hideMark/>
          </w:tcPr>
          <w:p w14:paraId="6DAB53A8" w14:textId="6535D5C7" w:rsidR="001A3F23" w:rsidRPr="00237521" w:rsidRDefault="001A3F23" w:rsidP="001A3F23">
            <w:pPr>
              <w:jc w:val="center"/>
              <w:rPr>
                <w:rFonts w:cs="Calibri"/>
                <w:b/>
                <w:sz w:val="22"/>
                <w:szCs w:val="22"/>
              </w:rPr>
            </w:pPr>
            <w:r w:rsidRPr="00237521">
              <w:rPr>
                <w:rFonts w:cs="Calibri"/>
                <w:b/>
                <w:sz w:val="22"/>
                <w:szCs w:val="22"/>
              </w:rPr>
              <w:t>0.93</w:t>
            </w:r>
          </w:p>
        </w:tc>
        <w:tc>
          <w:tcPr>
            <w:tcW w:w="978" w:type="dxa"/>
            <w:tcBorders>
              <w:top w:val="nil"/>
              <w:left w:val="nil"/>
              <w:bottom w:val="single" w:sz="4" w:space="0" w:color="auto"/>
              <w:right w:val="single" w:sz="4" w:space="0" w:color="auto"/>
            </w:tcBorders>
            <w:shd w:val="clear" w:color="000000" w:fill="FFFFFF"/>
            <w:noWrap/>
            <w:vAlign w:val="bottom"/>
            <w:hideMark/>
          </w:tcPr>
          <w:p w14:paraId="60B54073" w14:textId="77777777" w:rsidR="001A3F23" w:rsidRPr="00237521" w:rsidRDefault="001A3F23" w:rsidP="001A3F23">
            <w:pPr>
              <w:jc w:val="center"/>
              <w:rPr>
                <w:rFonts w:cs="Calibri"/>
                <w:b/>
                <w:sz w:val="22"/>
                <w:szCs w:val="22"/>
              </w:rPr>
            </w:pPr>
            <w:r w:rsidRPr="00237521">
              <w:rPr>
                <w:rFonts w:cs="Calibri"/>
                <w:b/>
                <w:sz w:val="22"/>
                <w:szCs w:val="22"/>
              </w:rPr>
              <w:t>0.025</w:t>
            </w:r>
          </w:p>
        </w:tc>
        <w:tc>
          <w:tcPr>
            <w:tcW w:w="978" w:type="dxa"/>
            <w:tcBorders>
              <w:top w:val="nil"/>
              <w:left w:val="nil"/>
              <w:bottom w:val="single" w:sz="4" w:space="0" w:color="auto"/>
              <w:right w:val="single" w:sz="4" w:space="0" w:color="auto"/>
            </w:tcBorders>
            <w:shd w:val="clear" w:color="000000" w:fill="FFFFFF"/>
            <w:noWrap/>
            <w:vAlign w:val="bottom"/>
            <w:hideMark/>
          </w:tcPr>
          <w:p w14:paraId="247675B0" w14:textId="77777777" w:rsidR="001A3F23" w:rsidRPr="00237521" w:rsidRDefault="001A3F23" w:rsidP="001A3F23">
            <w:pPr>
              <w:jc w:val="center"/>
              <w:rPr>
                <w:rFonts w:cs="Calibri"/>
                <w:b/>
                <w:sz w:val="22"/>
                <w:szCs w:val="22"/>
              </w:rPr>
            </w:pPr>
            <w:r w:rsidRPr="00237521">
              <w:rPr>
                <w:rFonts w:cs="Calibri"/>
                <w:b/>
                <w:sz w:val="22"/>
                <w:szCs w:val="22"/>
              </w:rPr>
              <w:t>2.8%</w:t>
            </w:r>
          </w:p>
        </w:tc>
        <w:tc>
          <w:tcPr>
            <w:tcW w:w="978" w:type="dxa"/>
            <w:tcBorders>
              <w:top w:val="nil"/>
              <w:left w:val="nil"/>
              <w:bottom w:val="single" w:sz="4" w:space="0" w:color="auto"/>
              <w:right w:val="single" w:sz="4" w:space="0" w:color="auto"/>
            </w:tcBorders>
            <w:shd w:val="clear" w:color="000000" w:fill="FFFFFF"/>
            <w:noWrap/>
            <w:vAlign w:val="bottom"/>
            <w:hideMark/>
          </w:tcPr>
          <w:p w14:paraId="6F8DA8B7" w14:textId="77777777" w:rsidR="001A3F23" w:rsidRPr="00237521" w:rsidRDefault="001A3F23" w:rsidP="001A3F23">
            <w:pPr>
              <w:jc w:val="center"/>
              <w:rPr>
                <w:rFonts w:cs="Calibri"/>
                <w:b/>
                <w:sz w:val="22"/>
                <w:szCs w:val="22"/>
              </w:rPr>
            </w:pPr>
            <w:r w:rsidRPr="00237521">
              <w:rPr>
                <w:rFonts w:cs="Calibri"/>
                <w:b/>
                <w:sz w:val="22"/>
                <w:szCs w:val="22"/>
              </w:rPr>
              <w:t>62</w:t>
            </w:r>
          </w:p>
        </w:tc>
      </w:tr>
    </w:tbl>
    <w:p w14:paraId="5CA188D2" w14:textId="77777777" w:rsidR="001A3F23" w:rsidRDefault="001A3F23" w:rsidP="00237521"/>
    <w:p w14:paraId="48ABC333" w14:textId="220C8F78" w:rsidR="004E7E8B" w:rsidRDefault="004E7E8B" w:rsidP="00095AB1">
      <w:pPr>
        <w:spacing w:after="120"/>
      </w:pPr>
      <w:r>
        <w:t xml:space="preserve">Table 5.6 shows the effect of TOU on average daily usage by month. </w:t>
      </w:r>
      <w:r w:rsidR="005E5D58">
        <w:t>CPP</w:t>
      </w:r>
      <w:r>
        <w:t xml:space="preserve"> </w:t>
      </w:r>
      <w:r w:rsidR="003464EF">
        <w:t xml:space="preserve">customers changed their average daily usage by small amounts in the </w:t>
      </w:r>
      <w:r w:rsidR="00AB493E">
        <w:t>winter</w:t>
      </w:r>
      <w:r w:rsidR="00B957D9">
        <w:t xml:space="preserve"> months, decreasing daily usage in all months but November</w:t>
      </w:r>
      <w:r w:rsidR="003464EF">
        <w:t xml:space="preserve">. </w:t>
      </w:r>
      <w:r w:rsidR="00B957D9">
        <w:t>These customers also decreased</w:t>
      </w:r>
      <w:r>
        <w:t xml:space="preserve"> their energy consumption by small amounts in each </w:t>
      </w:r>
      <w:r w:rsidR="003464EF">
        <w:t xml:space="preserve">summer </w:t>
      </w:r>
      <w:r>
        <w:t xml:space="preserve">month </w:t>
      </w:r>
      <w:r w:rsidR="003464EF">
        <w:t xml:space="preserve">(except </w:t>
      </w:r>
      <w:r w:rsidR="00B957D9">
        <w:t>August and October</w:t>
      </w:r>
      <w:r w:rsidR="003464EF">
        <w:t xml:space="preserve">). </w:t>
      </w:r>
      <w:r w:rsidR="00640CA8">
        <w:t xml:space="preserve">The overall effect is </w:t>
      </w:r>
      <w:r>
        <w:t xml:space="preserve">an average annual </w:t>
      </w:r>
      <w:r w:rsidR="00B957D9">
        <w:rPr>
          <w:i/>
        </w:rPr>
        <w:t>decrease</w:t>
      </w:r>
      <w:r>
        <w:t xml:space="preserve"> of </w:t>
      </w:r>
      <w:r w:rsidR="00B957D9">
        <w:t xml:space="preserve">about </w:t>
      </w:r>
      <w:r>
        <w:t>1</w:t>
      </w:r>
      <w:r w:rsidR="00B957D9">
        <w:t>.</w:t>
      </w:r>
      <w:r w:rsidR="00CA562C">
        <w:t>2</w:t>
      </w:r>
      <w:r>
        <w:t xml:space="preserve"> percent.</w:t>
      </w:r>
    </w:p>
    <w:p w14:paraId="487A8673" w14:textId="77777777" w:rsidR="00AC4D2B" w:rsidRDefault="00AC4D2B" w:rsidP="00095AB1">
      <w:pPr>
        <w:spacing w:after="120"/>
      </w:pPr>
    </w:p>
    <w:p w14:paraId="32DA0B57" w14:textId="16237CC4" w:rsidR="0066133E" w:rsidRDefault="00C108C4" w:rsidP="00B824FE">
      <w:pPr>
        <w:pStyle w:val="TableCaption"/>
        <w:keepNext/>
        <w:keepLines/>
        <w:rPr>
          <w:i/>
        </w:rPr>
      </w:pPr>
      <w:bookmarkStart w:id="94" w:name="_Toc509576799"/>
      <w:r w:rsidRPr="00B824FE">
        <w:lastRenderedPageBreak/>
        <w:t xml:space="preserve">Table </w:t>
      </w:r>
      <w:r w:rsidR="00BA0427" w:rsidRPr="00B824FE">
        <w:t>5</w:t>
      </w:r>
      <w:r w:rsidRPr="00B824FE">
        <w:t>.</w:t>
      </w:r>
      <w:r w:rsidR="00BA0427" w:rsidRPr="00B824FE">
        <w:t>6</w:t>
      </w:r>
      <w:r w:rsidRPr="00B824FE">
        <w:t xml:space="preserve">: </w:t>
      </w:r>
      <w:r w:rsidR="006D4EEC" w:rsidRPr="00B824FE">
        <w:t>TOU</w:t>
      </w:r>
      <w:r w:rsidR="00BA0427" w:rsidRPr="00B824FE">
        <w:t xml:space="preserve"> Average </w:t>
      </w:r>
      <w:r w:rsidR="00BA0427" w:rsidRPr="00B824FE">
        <w:rPr>
          <w:i/>
        </w:rPr>
        <w:t>Daily</w:t>
      </w:r>
      <w:r w:rsidR="00BA0427" w:rsidRPr="00B824FE">
        <w:t xml:space="preserve"> Load Impacts</w:t>
      </w:r>
      <w:r w:rsidR="006D4EEC" w:rsidRPr="00B824FE">
        <w:t xml:space="preserve"> for CPP Customers</w:t>
      </w:r>
      <w:r w:rsidR="00BA0427" w:rsidRPr="00B824FE">
        <w:t xml:space="preserve">, </w:t>
      </w:r>
      <w:r w:rsidR="00BA0427" w:rsidRPr="00B824FE">
        <w:rPr>
          <w:i/>
        </w:rPr>
        <w:t>by Month</w:t>
      </w:r>
      <w:bookmarkEnd w:id="94"/>
    </w:p>
    <w:tbl>
      <w:tblPr>
        <w:tblW w:w="9357" w:type="dxa"/>
        <w:jc w:val="center"/>
        <w:tblLook w:val="04A0" w:firstRow="1" w:lastRow="0" w:firstColumn="1" w:lastColumn="0" w:noHBand="0" w:noVBand="1"/>
      </w:tblPr>
      <w:tblGrid>
        <w:gridCol w:w="1164"/>
        <w:gridCol w:w="970"/>
        <w:gridCol w:w="1122"/>
        <w:gridCol w:w="1090"/>
        <w:gridCol w:w="1076"/>
        <w:gridCol w:w="1017"/>
        <w:gridCol w:w="1017"/>
        <w:gridCol w:w="1155"/>
        <w:gridCol w:w="878"/>
      </w:tblGrid>
      <w:tr w:rsidR="008A0514" w:rsidRPr="008A0514" w14:paraId="44C7D85C" w14:textId="77777777" w:rsidTr="00D43711">
        <w:trPr>
          <w:trHeight w:val="294"/>
          <w:jc w:val="center"/>
        </w:trPr>
        <w:tc>
          <w:tcPr>
            <w:tcW w:w="1164" w:type="dxa"/>
            <w:tcBorders>
              <w:top w:val="single" w:sz="4" w:space="0" w:color="auto"/>
              <w:left w:val="single" w:sz="4" w:space="0" w:color="auto"/>
              <w:bottom w:val="nil"/>
              <w:right w:val="single" w:sz="4" w:space="0" w:color="FFFFFF"/>
            </w:tcBorders>
            <w:shd w:val="clear" w:color="000000" w:fill="132577"/>
            <w:noWrap/>
            <w:vAlign w:val="bottom"/>
            <w:hideMark/>
          </w:tcPr>
          <w:p w14:paraId="19908115" w14:textId="77777777" w:rsidR="008A0514" w:rsidRPr="008A0514" w:rsidRDefault="008A0514" w:rsidP="008A0514">
            <w:pPr>
              <w:rPr>
                <w:rFonts w:cs="Calibri"/>
                <w:color w:val="FFFFFF"/>
                <w:sz w:val="22"/>
                <w:szCs w:val="22"/>
              </w:rPr>
            </w:pPr>
            <w:r w:rsidRPr="008A0514">
              <w:rPr>
                <w:rFonts w:cs="Calibri"/>
                <w:color w:val="FFFFFF"/>
                <w:sz w:val="22"/>
                <w:szCs w:val="22"/>
              </w:rPr>
              <w:t> </w:t>
            </w:r>
          </w:p>
        </w:tc>
        <w:tc>
          <w:tcPr>
            <w:tcW w:w="970" w:type="dxa"/>
            <w:tcBorders>
              <w:top w:val="single" w:sz="4" w:space="0" w:color="auto"/>
              <w:left w:val="nil"/>
              <w:bottom w:val="nil"/>
              <w:right w:val="single" w:sz="4" w:space="0" w:color="FFFFFF"/>
            </w:tcBorders>
            <w:shd w:val="clear" w:color="000000" w:fill="132577"/>
            <w:noWrap/>
            <w:vAlign w:val="bottom"/>
            <w:hideMark/>
          </w:tcPr>
          <w:p w14:paraId="57B4C17E" w14:textId="77777777" w:rsidR="008A0514" w:rsidRPr="008A0514" w:rsidRDefault="008A0514" w:rsidP="008A0514">
            <w:pPr>
              <w:rPr>
                <w:rFonts w:cs="Calibri"/>
                <w:color w:val="FFFFFF"/>
                <w:sz w:val="22"/>
                <w:szCs w:val="22"/>
              </w:rPr>
            </w:pPr>
            <w:r w:rsidRPr="008A0514">
              <w:rPr>
                <w:rFonts w:cs="Calibri"/>
                <w:color w:val="FFFFFF"/>
                <w:sz w:val="22"/>
                <w:szCs w:val="22"/>
              </w:rPr>
              <w:t> </w:t>
            </w:r>
          </w:p>
        </w:tc>
        <w:tc>
          <w:tcPr>
            <w:tcW w:w="1122" w:type="dxa"/>
            <w:tcBorders>
              <w:top w:val="single" w:sz="4" w:space="0" w:color="auto"/>
              <w:left w:val="nil"/>
              <w:bottom w:val="nil"/>
              <w:right w:val="single" w:sz="4" w:space="0" w:color="FFFFFF"/>
            </w:tcBorders>
            <w:shd w:val="clear" w:color="000000" w:fill="132577"/>
            <w:noWrap/>
            <w:vAlign w:val="bottom"/>
            <w:hideMark/>
          </w:tcPr>
          <w:p w14:paraId="4C6FE7D3" w14:textId="77777777" w:rsidR="008A0514" w:rsidRPr="008A0514" w:rsidRDefault="008A0514" w:rsidP="008A0514">
            <w:pPr>
              <w:rPr>
                <w:rFonts w:cs="Calibri"/>
                <w:color w:val="FFFFFF"/>
                <w:sz w:val="22"/>
                <w:szCs w:val="22"/>
              </w:rPr>
            </w:pPr>
            <w:r w:rsidRPr="008A0514">
              <w:rPr>
                <w:rFonts w:cs="Calibri"/>
                <w:color w:val="FFFFFF"/>
                <w:sz w:val="22"/>
                <w:szCs w:val="22"/>
              </w:rPr>
              <w:t> </w:t>
            </w:r>
          </w:p>
        </w:tc>
        <w:tc>
          <w:tcPr>
            <w:tcW w:w="2034" w:type="dxa"/>
            <w:gridSpan w:val="2"/>
            <w:tcBorders>
              <w:top w:val="single" w:sz="4" w:space="0" w:color="auto"/>
              <w:left w:val="nil"/>
              <w:bottom w:val="single" w:sz="4" w:space="0" w:color="FFFFFF"/>
              <w:right w:val="single" w:sz="4" w:space="0" w:color="FFFFFF"/>
            </w:tcBorders>
            <w:shd w:val="clear" w:color="000000" w:fill="132577"/>
            <w:noWrap/>
            <w:vAlign w:val="bottom"/>
            <w:hideMark/>
          </w:tcPr>
          <w:p w14:paraId="7C1D5673" w14:textId="77777777" w:rsidR="008A0514" w:rsidRPr="008A0514" w:rsidRDefault="008A0514" w:rsidP="008A0514">
            <w:pPr>
              <w:jc w:val="center"/>
              <w:rPr>
                <w:rFonts w:cs="Calibri"/>
                <w:b/>
                <w:bCs/>
                <w:color w:val="FFFFFF"/>
                <w:sz w:val="22"/>
                <w:szCs w:val="22"/>
              </w:rPr>
            </w:pPr>
            <w:r w:rsidRPr="008A0514">
              <w:rPr>
                <w:rFonts w:cs="Calibri"/>
                <w:b/>
                <w:bCs/>
                <w:color w:val="FFFFFF"/>
                <w:sz w:val="22"/>
                <w:szCs w:val="22"/>
              </w:rPr>
              <w:t>Aggregate</w:t>
            </w:r>
          </w:p>
        </w:tc>
        <w:tc>
          <w:tcPr>
            <w:tcW w:w="2034" w:type="dxa"/>
            <w:gridSpan w:val="2"/>
            <w:tcBorders>
              <w:top w:val="single" w:sz="4" w:space="0" w:color="auto"/>
              <w:left w:val="nil"/>
              <w:bottom w:val="single" w:sz="4" w:space="0" w:color="FFFFFF"/>
              <w:right w:val="nil"/>
            </w:tcBorders>
            <w:shd w:val="clear" w:color="000000" w:fill="132577"/>
            <w:noWrap/>
            <w:vAlign w:val="bottom"/>
            <w:hideMark/>
          </w:tcPr>
          <w:p w14:paraId="0C8A80F4" w14:textId="77777777" w:rsidR="008A0514" w:rsidRPr="008A0514" w:rsidRDefault="008A0514" w:rsidP="008A0514">
            <w:pPr>
              <w:jc w:val="center"/>
              <w:rPr>
                <w:rFonts w:cs="Calibri"/>
                <w:b/>
                <w:bCs/>
                <w:color w:val="FFFFFF"/>
                <w:sz w:val="22"/>
                <w:szCs w:val="22"/>
              </w:rPr>
            </w:pPr>
            <w:r w:rsidRPr="008A0514">
              <w:rPr>
                <w:rFonts w:cs="Calibri"/>
                <w:b/>
                <w:bCs/>
                <w:color w:val="FFFFFF"/>
                <w:sz w:val="22"/>
                <w:szCs w:val="22"/>
              </w:rPr>
              <w:t>Per-Customer</w:t>
            </w:r>
          </w:p>
        </w:tc>
        <w:tc>
          <w:tcPr>
            <w:tcW w:w="1155" w:type="dxa"/>
            <w:tcBorders>
              <w:top w:val="single" w:sz="4" w:space="0" w:color="auto"/>
              <w:left w:val="single" w:sz="4" w:space="0" w:color="FFFFFF"/>
              <w:bottom w:val="nil"/>
              <w:right w:val="nil"/>
            </w:tcBorders>
            <w:shd w:val="clear" w:color="000000" w:fill="132577"/>
            <w:noWrap/>
            <w:vAlign w:val="bottom"/>
            <w:hideMark/>
          </w:tcPr>
          <w:p w14:paraId="3881B7D4" w14:textId="77777777" w:rsidR="008A0514" w:rsidRPr="008A0514" w:rsidRDefault="008A0514" w:rsidP="008A0514">
            <w:pPr>
              <w:rPr>
                <w:rFonts w:cs="Calibri"/>
                <w:color w:val="FFFFFF"/>
                <w:sz w:val="22"/>
                <w:szCs w:val="22"/>
              </w:rPr>
            </w:pPr>
            <w:r w:rsidRPr="008A0514">
              <w:rPr>
                <w:rFonts w:cs="Calibri"/>
                <w:color w:val="FFFFFF"/>
                <w:sz w:val="22"/>
                <w:szCs w:val="22"/>
              </w:rPr>
              <w:t> </w:t>
            </w:r>
          </w:p>
        </w:tc>
        <w:tc>
          <w:tcPr>
            <w:tcW w:w="878" w:type="dxa"/>
            <w:tcBorders>
              <w:top w:val="single" w:sz="4" w:space="0" w:color="auto"/>
              <w:left w:val="single" w:sz="4" w:space="0" w:color="FFFFFF"/>
              <w:bottom w:val="nil"/>
              <w:right w:val="single" w:sz="4" w:space="0" w:color="auto"/>
            </w:tcBorders>
            <w:shd w:val="clear" w:color="000000" w:fill="132577"/>
            <w:noWrap/>
            <w:vAlign w:val="bottom"/>
            <w:hideMark/>
          </w:tcPr>
          <w:p w14:paraId="637619C7" w14:textId="77777777" w:rsidR="008A0514" w:rsidRPr="008A0514" w:rsidRDefault="008A0514" w:rsidP="008A0514">
            <w:pPr>
              <w:rPr>
                <w:rFonts w:cs="Calibri"/>
                <w:color w:val="FFFFFF"/>
                <w:sz w:val="22"/>
                <w:szCs w:val="22"/>
              </w:rPr>
            </w:pPr>
            <w:r w:rsidRPr="008A0514">
              <w:rPr>
                <w:rFonts w:cs="Calibri"/>
                <w:color w:val="FFFFFF"/>
                <w:sz w:val="22"/>
                <w:szCs w:val="22"/>
              </w:rPr>
              <w:t> </w:t>
            </w:r>
          </w:p>
        </w:tc>
      </w:tr>
      <w:tr w:rsidR="008A0514" w:rsidRPr="008A0514" w14:paraId="1424D5F8" w14:textId="77777777" w:rsidTr="0010027E">
        <w:trPr>
          <w:trHeight w:val="1179"/>
          <w:jc w:val="center"/>
        </w:trPr>
        <w:tc>
          <w:tcPr>
            <w:tcW w:w="1164" w:type="dxa"/>
            <w:tcBorders>
              <w:top w:val="nil"/>
              <w:left w:val="single" w:sz="4" w:space="0" w:color="auto"/>
              <w:bottom w:val="single" w:sz="4" w:space="0" w:color="auto"/>
              <w:right w:val="single" w:sz="4" w:space="0" w:color="FFFFFF"/>
            </w:tcBorders>
            <w:shd w:val="clear" w:color="auto" w:fill="0C2577"/>
            <w:noWrap/>
            <w:vAlign w:val="bottom"/>
            <w:hideMark/>
          </w:tcPr>
          <w:p w14:paraId="41C41EEF" w14:textId="77777777" w:rsidR="008A0514" w:rsidRPr="008A0514" w:rsidRDefault="008A0514" w:rsidP="008A0514">
            <w:pPr>
              <w:jc w:val="center"/>
              <w:rPr>
                <w:rFonts w:cs="Calibri"/>
                <w:b/>
                <w:bCs/>
                <w:color w:val="FFFFFF"/>
                <w:sz w:val="22"/>
                <w:szCs w:val="22"/>
              </w:rPr>
            </w:pPr>
            <w:r w:rsidRPr="008A0514">
              <w:rPr>
                <w:rFonts w:cs="Calibri"/>
                <w:b/>
                <w:bCs/>
                <w:color w:val="FFFFFF"/>
                <w:sz w:val="22"/>
                <w:szCs w:val="22"/>
              </w:rPr>
              <w:t>Month</w:t>
            </w:r>
          </w:p>
        </w:tc>
        <w:tc>
          <w:tcPr>
            <w:tcW w:w="970" w:type="dxa"/>
            <w:tcBorders>
              <w:top w:val="nil"/>
              <w:left w:val="nil"/>
              <w:bottom w:val="single" w:sz="4" w:space="0" w:color="auto"/>
              <w:right w:val="single" w:sz="4" w:space="0" w:color="FFFFFF"/>
            </w:tcBorders>
            <w:shd w:val="clear" w:color="auto" w:fill="0C2577"/>
            <w:vAlign w:val="bottom"/>
            <w:hideMark/>
          </w:tcPr>
          <w:p w14:paraId="1BE384AD" w14:textId="77777777" w:rsidR="008A0514" w:rsidRPr="008A0514" w:rsidRDefault="008A0514" w:rsidP="008A0514">
            <w:pPr>
              <w:jc w:val="center"/>
              <w:rPr>
                <w:rFonts w:cs="Calibri"/>
                <w:b/>
                <w:bCs/>
                <w:color w:val="FFFFFF"/>
                <w:sz w:val="22"/>
                <w:szCs w:val="22"/>
              </w:rPr>
            </w:pPr>
            <w:r w:rsidRPr="008A0514">
              <w:rPr>
                <w:rFonts w:cs="Calibri"/>
                <w:b/>
                <w:bCs/>
                <w:color w:val="FFFFFF"/>
                <w:sz w:val="22"/>
                <w:szCs w:val="22"/>
              </w:rPr>
              <w:t>Climate Zone</w:t>
            </w:r>
          </w:p>
        </w:tc>
        <w:tc>
          <w:tcPr>
            <w:tcW w:w="1122" w:type="dxa"/>
            <w:tcBorders>
              <w:top w:val="nil"/>
              <w:left w:val="nil"/>
              <w:bottom w:val="single" w:sz="4" w:space="0" w:color="auto"/>
              <w:right w:val="single" w:sz="4" w:space="0" w:color="FFFFFF"/>
            </w:tcBorders>
            <w:shd w:val="clear" w:color="auto" w:fill="0C2577"/>
            <w:vAlign w:val="bottom"/>
            <w:hideMark/>
          </w:tcPr>
          <w:p w14:paraId="0265B020" w14:textId="77777777" w:rsidR="008A0514" w:rsidRPr="008A0514" w:rsidRDefault="008A0514" w:rsidP="008A0514">
            <w:pPr>
              <w:jc w:val="center"/>
              <w:rPr>
                <w:rFonts w:cs="Calibri"/>
                <w:b/>
                <w:bCs/>
                <w:color w:val="FFFFFF"/>
                <w:sz w:val="22"/>
                <w:szCs w:val="22"/>
              </w:rPr>
            </w:pPr>
            <w:r w:rsidRPr="008A0514">
              <w:rPr>
                <w:rFonts w:cs="Calibri"/>
                <w:b/>
                <w:bCs/>
                <w:color w:val="FFFFFF"/>
                <w:sz w:val="22"/>
                <w:szCs w:val="22"/>
              </w:rPr>
              <w:t>Enrolled</w:t>
            </w:r>
          </w:p>
        </w:tc>
        <w:tc>
          <w:tcPr>
            <w:tcW w:w="1090" w:type="dxa"/>
            <w:tcBorders>
              <w:top w:val="nil"/>
              <w:left w:val="nil"/>
              <w:bottom w:val="nil"/>
              <w:right w:val="nil"/>
            </w:tcBorders>
            <w:shd w:val="clear" w:color="auto" w:fill="0C2577"/>
            <w:vAlign w:val="bottom"/>
            <w:hideMark/>
          </w:tcPr>
          <w:p w14:paraId="122275D9" w14:textId="5E28F926" w:rsidR="008A0514" w:rsidRPr="008A0514" w:rsidRDefault="008A0514" w:rsidP="008A0514">
            <w:pPr>
              <w:jc w:val="center"/>
              <w:rPr>
                <w:rFonts w:cs="Calibri"/>
                <w:b/>
                <w:bCs/>
                <w:color w:val="FFFFFF"/>
                <w:sz w:val="22"/>
                <w:szCs w:val="22"/>
              </w:rPr>
            </w:pPr>
            <w:r w:rsidRPr="008A0514">
              <w:rPr>
                <w:rFonts w:cs="Calibri"/>
                <w:b/>
                <w:bCs/>
                <w:color w:val="FFFFFF"/>
                <w:sz w:val="22"/>
                <w:szCs w:val="22"/>
              </w:rPr>
              <w:t>Daily Ref. Load (MWh</w:t>
            </w:r>
            <w:r w:rsidR="007629EE">
              <w:rPr>
                <w:rFonts w:cs="Calibri"/>
                <w:b/>
                <w:bCs/>
                <w:color w:val="FFFFFF"/>
                <w:sz w:val="22"/>
                <w:szCs w:val="22"/>
              </w:rPr>
              <w:t>/h</w:t>
            </w:r>
            <w:r w:rsidRPr="008A0514">
              <w:rPr>
                <w:rFonts w:cs="Calibri"/>
                <w:b/>
                <w:bCs/>
                <w:color w:val="FFFFFF"/>
                <w:sz w:val="22"/>
                <w:szCs w:val="22"/>
              </w:rPr>
              <w:t>)</w:t>
            </w:r>
          </w:p>
        </w:tc>
        <w:tc>
          <w:tcPr>
            <w:tcW w:w="944" w:type="dxa"/>
            <w:tcBorders>
              <w:top w:val="nil"/>
              <w:left w:val="nil"/>
              <w:bottom w:val="nil"/>
              <w:right w:val="single" w:sz="4" w:space="0" w:color="FFFFFF"/>
            </w:tcBorders>
            <w:shd w:val="clear" w:color="auto" w:fill="0C2577"/>
            <w:vAlign w:val="bottom"/>
            <w:hideMark/>
          </w:tcPr>
          <w:p w14:paraId="4F0FBE7B" w14:textId="5E2D6674" w:rsidR="008A0514" w:rsidRPr="008A0514" w:rsidRDefault="008A0514" w:rsidP="008A0514">
            <w:pPr>
              <w:jc w:val="center"/>
              <w:rPr>
                <w:rFonts w:cs="Calibri"/>
                <w:b/>
                <w:bCs/>
                <w:color w:val="FFFFFF"/>
                <w:sz w:val="22"/>
                <w:szCs w:val="22"/>
              </w:rPr>
            </w:pPr>
            <w:r w:rsidRPr="008A0514">
              <w:rPr>
                <w:rFonts w:cs="Calibri"/>
                <w:b/>
                <w:bCs/>
                <w:color w:val="FFFFFF"/>
                <w:sz w:val="22"/>
                <w:szCs w:val="22"/>
              </w:rPr>
              <w:t>Daily Load Impact (MWh</w:t>
            </w:r>
            <w:r w:rsidR="007629EE">
              <w:rPr>
                <w:rFonts w:cs="Calibri"/>
                <w:b/>
                <w:bCs/>
                <w:color w:val="FFFFFF"/>
                <w:sz w:val="22"/>
                <w:szCs w:val="22"/>
              </w:rPr>
              <w:t>/h</w:t>
            </w:r>
            <w:r w:rsidRPr="008A0514">
              <w:rPr>
                <w:rFonts w:cs="Calibri"/>
                <w:b/>
                <w:bCs/>
                <w:color w:val="FFFFFF"/>
                <w:sz w:val="22"/>
                <w:szCs w:val="22"/>
              </w:rPr>
              <w:t>)</w:t>
            </w:r>
          </w:p>
        </w:tc>
        <w:tc>
          <w:tcPr>
            <w:tcW w:w="1017" w:type="dxa"/>
            <w:tcBorders>
              <w:top w:val="nil"/>
              <w:left w:val="nil"/>
              <w:bottom w:val="nil"/>
              <w:right w:val="nil"/>
            </w:tcBorders>
            <w:shd w:val="clear" w:color="auto" w:fill="0C2577"/>
            <w:vAlign w:val="bottom"/>
            <w:hideMark/>
          </w:tcPr>
          <w:p w14:paraId="2A0B4B74" w14:textId="5B1D2362" w:rsidR="008A0514" w:rsidRPr="008A0514" w:rsidRDefault="008A0514" w:rsidP="008A0514">
            <w:pPr>
              <w:jc w:val="center"/>
              <w:rPr>
                <w:rFonts w:cs="Calibri"/>
                <w:b/>
                <w:bCs/>
                <w:color w:val="FFFFFF"/>
                <w:sz w:val="22"/>
                <w:szCs w:val="22"/>
              </w:rPr>
            </w:pPr>
            <w:r w:rsidRPr="008A0514">
              <w:rPr>
                <w:rFonts w:cs="Calibri"/>
                <w:b/>
                <w:bCs/>
                <w:color w:val="FFFFFF"/>
                <w:sz w:val="22"/>
                <w:szCs w:val="22"/>
              </w:rPr>
              <w:t>Daily Ref. Load (kWh</w:t>
            </w:r>
            <w:r w:rsidR="007629EE">
              <w:rPr>
                <w:rFonts w:cs="Calibri"/>
                <w:b/>
                <w:bCs/>
                <w:color w:val="FFFFFF"/>
                <w:sz w:val="22"/>
                <w:szCs w:val="22"/>
              </w:rPr>
              <w:t>/h</w:t>
            </w:r>
            <w:r w:rsidRPr="008A0514">
              <w:rPr>
                <w:rFonts w:cs="Calibri"/>
                <w:b/>
                <w:bCs/>
                <w:color w:val="FFFFFF"/>
                <w:sz w:val="22"/>
                <w:szCs w:val="22"/>
              </w:rPr>
              <w:t>)</w:t>
            </w:r>
          </w:p>
        </w:tc>
        <w:tc>
          <w:tcPr>
            <w:tcW w:w="1017" w:type="dxa"/>
            <w:tcBorders>
              <w:top w:val="nil"/>
              <w:left w:val="nil"/>
              <w:bottom w:val="single" w:sz="4" w:space="0" w:color="auto"/>
              <w:right w:val="single" w:sz="4" w:space="0" w:color="FFFFFF"/>
            </w:tcBorders>
            <w:shd w:val="clear" w:color="auto" w:fill="0C2577"/>
            <w:vAlign w:val="bottom"/>
            <w:hideMark/>
          </w:tcPr>
          <w:p w14:paraId="0E5A61A8" w14:textId="4CE5E996" w:rsidR="008A0514" w:rsidRPr="008A0514" w:rsidRDefault="008A0514" w:rsidP="008A0514">
            <w:pPr>
              <w:jc w:val="center"/>
              <w:rPr>
                <w:rFonts w:cs="Calibri"/>
                <w:b/>
                <w:bCs/>
                <w:color w:val="FFFFFF"/>
                <w:sz w:val="22"/>
                <w:szCs w:val="22"/>
              </w:rPr>
            </w:pPr>
            <w:r w:rsidRPr="008A0514">
              <w:rPr>
                <w:rFonts w:cs="Calibri"/>
                <w:b/>
                <w:bCs/>
                <w:color w:val="FFFFFF"/>
                <w:sz w:val="22"/>
                <w:szCs w:val="22"/>
              </w:rPr>
              <w:t>Daily Load Impact (kWh</w:t>
            </w:r>
            <w:r w:rsidR="007629EE">
              <w:rPr>
                <w:rFonts w:cs="Calibri"/>
                <w:b/>
                <w:bCs/>
                <w:color w:val="FFFFFF"/>
                <w:sz w:val="22"/>
                <w:szCs w:val="22"/>
              </w:rPr>
              <w:t>/h</w:t>
            </w:r>
            <w:r w:rsidRPr="008A0514">
              <w:rPr>
                <w:rFonts w:cs="Calibri"/>
                <w:b/>
                <w:bCs/>
                <w:color w:val="FFFFFF"/>
                <w:sz w:val="22"/>
                <w:szCs w:val="22"/>
              </w:rPr>
              <w:t>)</w:t>
            </w:r>
          </w:p>
        </w:tc>
        <w:tc>
          <w:tcPr>
            <w:tcW w:w="1155" w:type="dxa"/>
            <w:tcBorders>
              <w:top w:val="nil"/>
              <w:left w:val="nil"/>
              <w:bottom w:val="nil"/>
              <w:right w:val="nil"/>
            </w:tcBorders>
            <w:shd w:val="clear" w:color="auto" w:fill="0C2577"/>
            <w:vAlign w:val="bottom"/>
            <w:hideMark/>
          </w:tcPr>
          <w:p w14:paraId="3C612C91" w14:textId="77777777" w:rsidR="008A0514" w:rsidRPr="008A0514" w:rsidRDefault="008A0514" w:rsidP="008A0514">
            <w:pPr>
              <w:jc w:val="center"/>
              <w:rPr>
                <w:rFonts w:cs="Calibri"/>
                <w:b/>
                <w:bCs/>
                <w:color w:val="FFFFFF"/>
                <w:sz w:val="22"/>
                <w:szCs w:val="22"/>
              </w:rPr>
            </w:pPr>
            <w:r w:rsidRPr="008A0514">
              <w:rPr>
                <w:rFonts w:cs="Calibri"/>
                <w:b/>
                <w:bCs/>
                <w:color w:val="FFFFFF"/>
                <w:sz w:val="22"/>
                <w:szCs w:val="22"/>
              </w:rPr>
              <w:t>% Daily Load Impact</w:t>
            </w:r>
          </w:p>
        </w:tc>
        <w:tc>
          <w:tcPr>
            <w:tcW w:w="878" w:type="dxa"/>
            <w:tcBorders>
              <w:top w:val="nil"/>
              <w:left w:val="single" w:sz="4" w:space="0" w:color="FFFFFF"/>
              <w:bottom w:val="single" w:sz="4" w:space="0" w:color="auto"/>
              <w:right w:val="single" w:sz="4" w:space="0" w:color="auto"/>
            </w:tcBorders>
            <w:shd w:val="clear" w:color="auto" w:fill="0C2577"/>
            <w:vAlign w:val="bottom"/>
            <w:hideMark/>
          </w:tcPr>
          <w:p w14:paraId="76F79BE7" w14:textId="77777777" w:rsidR="008A0514" w:rsidRPr="008A0514" w:rsidRDefault="008A0514" w:rsidP="008A0514">
            <w:pPr>
              <w:jc w:val="center"/>
              <w:rPr>
                <w:rFonts w:cs="Calibri"/>
                <w:b/>
                <w:bCs/>
                <w:color w:val="FFFFFF"/>
                <w:sz w:val="22"/>
                <w:szCs w:val="22"/>
              </w:rPr>
            </w:pPr>
            <w:r w:rsidRPr="008A0514">
              <w:rPr>
                <w:rFonts w:cs="Calibri"/>
                <w:b/>
                <w:bCs/>
                <w:color w:val="FFFFFF"/>
                <w:sz w:val="22"/>
                <w:szCs w:val="22"/>
              </w:rPr>
              <w:t>Ave. Daily Temp.</w:t>
            </w:r>
          </w:p>
        </w:tc>
      </w:tr>
      <w:tr w:rsidR="00FC0920" w:rsidRPr="008A0514" w14:paraId="1702239B" w14:textId="77777777" w:rsidTr="00FC0920">
        <w:trPr>
          <w:trHeight w:val="20"/>
          <w:jc w:val="center"/>
        </w:trPr>
        <w:tc>
          <w:tcPr>
            <w:tcW w:w="1164" w:type="dxa"/>
            <w:tcBorders>
              <w:top w:val="nil"/>
              <w:left w:val="single" w:sz="4" w:space="0" w:color="auto"/>
              <w:bottom w:val="single" w:sz="4" w:space="0" w:color="auto"/>
              <w:right w:val="nil"/>
            </w:tcBorders>
            <w:shd w:val="clear" w:color="auto" w:fill="auto"/>
            <w:noWrap/>
            <w:vAlign w:val="bottom"/>
            <w:hideMark/>
          </w:tcPr>
          <w:p w14:paraId="6431580B" w14:textId="4FE9EBAC" w:rsidR="00FC0920" w:rsidRPr="008A0514" w:rsidRDefault="00FC0920" w:rsidP="00FC0920">
            <w:pPr>
              <w:ind w:firstLineChars="100" w:firstLine="220"/>
              <w:jc w:val="right"/>
              <w:rPr>
                <w:rFonts w:cs="Calibri"/>
                <w:sz w:val="22"/>
                <w:szCs w:val="22"/>
              </w:rPr>
            </w:pPr>
            <w:r>
              <w:rPr>
                <w:rFonts w:cs="Calibri"/>
                <w:sz w:val="22"/>
                <w:szCs w:val="22"/>
              </w:rPr>
              <w:t>Oct-16</w:t>
            </w:r>
          </w:p>
        </w:tc>
        <w:tc>
          <w:tcPr>
            <w:tcW w:w="970" w:type="dxa"/>
            <w:tcBorders>
              <w:top w:val="nil"/>
              <w:left w:val="single" w:sz="4" w:space="0" w:color="auto"/>
              <w:bottom w:val="single" w:sz="4" w:space="0" w:color="auto"/>
              <w:right w:val="single" w:sz="4" w:space="0" w:color="auto"/>
            </w:tcBorders>
            <w:shd w:val="clear" w:color="auto" w:fill="auto"/>
            <w:noWrap/>
            <w:vAlign w:val="bottom"/>
            <w:hideMark/>
          </w:tcPr>
          <w:p w14:paraId="540B8CBD" w14:textId="77777777" w:rsidR="00FC0920" w:rsidRPr="008A0514" w:rsidRDefault="00FC0920" w:rsidP="00FC0920">
            <w:pPr>
              <w:jc w:val="center"/>
              <w:rPr>
                <w:rFonts w:cs="Calibri"/>
                <w:sz w:val="22"/>
                <w:szCs w:val="22"/>
              </w:rPr>
            </w:pPr>
            <w:r w:rsidRPr="008A0514">
              <w:rPr>
                <w:rFonts w:cs="Calibri"/>
                <w:sz w:val="22"/>
                <w:szCs w:val="22"/>
              </w:rPr>
              <w:t>All</w:t>
            </w:r>
          </w:p>
        </w:tc>
        <w:tc>
          <w:tcPr>
            <w:tcW w:w="1122" w:type="dxa"/>
            <w:tcBorders>
              <w:top w:val="nil"/>
              <w:left w:val="nil"/>
              <w:bottom w:val="single" w:sz="4" w:space="0" w:color="auto"/>
              <w:right w:val="nil"/>
            </w:tcBorders>
            <w:shd w:val="clear" w:color="auto" w:fill="auto"/>
            <w:noWrap/>
            <w:vAlign w:val="bottom"/>
            <w:hideMark/>
          </w:tcPr>
          <w:p w14:paraId="5A231A55" w14:textId="77777777" w:rsidR="00FC0920" w:rsidRPr="008A0514" w:rsidRDefault="00FC0920" w:rsidP="00FC0920">
            <w:pPr>
              <w:ind w:firstLineChars="100" w:firstLine="220"/>
              <w:jc w:val="right"/>
              <w:rPr>
                <w:rFonts w:cs="Calibri"/>
                <w:sz w:val="22"/>
                <w:szCs w:val="22"/>
              </w:rPr>
            </w:pPr>
            <w:r w:rsidRPr="008A0514">
              <w:rPr>
                <w:rFonts w:cs="Calibri"/>
                <w:sz w:val="22"/>
                <w:szCs w:val="22"/>
              </w:rPr>
              <w:t>2,724</w:t>
            </w:r>
          </w:p>
        </w:tc>
        <w:tc>
          <w:tcPr>
            <w:tcW w:w="1090" w:type="dxa"/>
            <w:tcBorders>
              <w:top w:val="single" w:sz="4" w:space="0" w:color="auto"/>
              <w:left w:val="single" w:sz="4" w:space="0" w:color="auto"/>
              <w:bottom w:val="single" w:sz="4" w:space="0" w:color="auto"/>
              <w:right w:val="nil"/>
            </w:tcBorders>
            <w:shd w:val="clear" w:color="auto" w:fill="auto"/>
            <w:noWrap/>
            <w:vAlign w:val="bottom"/>
            <w:hideMark/>
          </w:tcPr>
          <w:p w14:paraId="0FB60965" w14:textId="77777777" w:rsidR="00FC0920" w:rsidRPr="008A0514" w:rsidRDefault="00FC0920" w:rsidP="00B81B67">
            <w:pPr>
              <w:ind w:firstLineChars="100" w:firstLine="220"/>
              <w:jc w:val="center"/>
              <w:rPr>
                <w:rFonts w:cs="Calibri"/>
                <w:sz w:val="22"/>
                <w:szCs w:val="22"/>
              </w:rPr>
            </w:pPr>
            <w:r w:rsidRPr="008A0514">
              <w:rPr>
                <w:rFonts w:cs="Calibri"/>
                <w:sz w:val="22"/>
                <w:szCs w:val="22"/>
              </w:rPr>
              <w:t>44.08</w:t>
            </w:r>
          </w:p>
        </w:tc>
        <w:tc>
          <w:tcPr>
            <w:tcW w:w="944" w:type="dxa"/>
            <w:tcBorders>
              <w:top w:val="single" w:sz="4" w:space="0" w:color="auto"/>
              <w:left w:val="nil"/>
              <w:bottom w:val="single" w:sz="4" w:space="0" w:color="auto"/>
              <w:right w:val="single" w:sz="4" w:space="0" w:color="auto"/>
            </w:tcBorders>
            <w:shd w:val="clear" w:color="auto" w:fill="auto"/>
            <w:noWrap/>
            <w:vAlign w:val="bottom"/>
            <w:hideMark/>
          </w:tcPr>
          <w:p w14:paraId="55932B5A" w14:textId="77777777" w:rsidR="00FC0920" w:rsidRPr="008A0514" w:rsidRDefault="00FC0920" w:rsidP="00B81B67">
            <w:pPr>
              <w:ind w:firstLineChars="100" w:firstLine="220"/>
              <w:jc w:val="center"/>
              <w:rPr>
                <w:rFonts w:cs="Calibri"/>
                <w:sz w:val="22"/>
                <w:szCs w:val="22"/>
              </w:rPr>
            </w:pPr>
            <w:r w:rsidRPr="008A0514">
              <w:rPr>
                <w:rFonts w:cs="Calibri"/>
                <w:sz w:val="22"/>
                <w:szCs w:val="22"/>
              </w:rPr>
              <w:t>-1.50</w:t>
            </w:r>
          </w:p>
        </w:tc>
        <w:tc>
          <w:tcPr>
            <w:tcW w:w="1017" w:type="dxa"/>
            <w:tcBorders>
              <w:top w:val="single" w:sz="4" w:space="0" w:color="auto"/>
              <w:left w:val="nil"/>
              <w:bottom w:val="single" w:sz="4" w:space="0" w:color="auto"/>
              <w:right w:val="nil"/>
            </w:tcBorders>
            <w:shd w:val="clear" w:color="auto" w:fill="auto"/>
            <w:noWrap/>
            <w:vAlign w:val="bottom"/>
            <w:hideMark/>
          </w:tcPr>
          <w:p w14:paraId="09F2F65D" w14:textId="77777777" w:rsidR="00FC0920" w:rsidRPr="008A0514" w:rsidRDefault="00FC0920" w:rsidP="00B81B67">
            <w:pPr>
              <w:ind w:firstLineChars="100" w:firstLine="220"/>
              <w:jc w:val="center"/>
              <w:rPr>
                <w:rFonts w:cs="Calibri"/>
                <w:sz w:val="22"/>
                <w:szCs w:val="22"/>
              </w:rPr>
            </w:pPr>
            <w:r w:rsidRPr="008A0514">
              <w:rPr>
                <w:rFonts w:cs="Calibri"/>
                <w:sz w:val="22"/>
                <w:szCs w:val="22"/>
              </w:rPr>
              <w:t>16.18</w:t>
            </w:r>
          </w:p>
        </w:tc>
        <w:tc>
          <w:tcPr>
            <w:tcW w:w="1017" w:type="dxa"/>
            <w:tcBorders>
              <w:top w:val="nil"/>
              <w:left w:val="nil"/>
              <w:bottom w:val="single" w:sz="4" w:space="0" w:color="auto"/>
              <w:right w:val="nil"/>
            </w:tcBorders>
            <w:shd w:val="clear" w:color="auto" w:fill="auto"/>
            <w:noWrap/>
            <w:vAlign w:val="bottom"/>
            <w:hideMark/>
          </w:tcPr>
          <w:p w14:paraId="48E1F905"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-0.55</w:t>
            </w:r>
          </w:p>
        </w:tc>
        <w:tc>
          <w:tcPr>
            <w:tcW w:w="115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01B073D" w14:textId="77777777" w:rsidR="00FC0920" w:rsidRPr="008A0514" w:rsidRDefault="00FC0920" w:rsidP="00FC0920">
            <w:pPr>
              <w:jc w:val="center"/>
              <w:rPr>
                <w:rFonts w:cs="Calibri"/>
                <w:sz w:val="22"/>
                <w:szCs w:val="22"/>
              </w:rPr>
            </w:pPr>
            <w:r w:rsidRPr="008A0514">
              <w:rPr>
                <w:rFonts w:cs="Calibri"/>
                <w:sz w:val="22"/>
                <w:szCs w:val="22"/>
              </w:rPr>
              <w:t>-3.4%</w:t>
            </w:r>
          </w:p>
        </w:tc>
        <w:tc>
          <w:tcPr>
            <w:tcW w:w="878" w:type="dxa"/>
            <w:tcBorders>
              <w:top w:val="nil"/>
              <w:left w:val="nil"/>
              <w:bottom w:val="single" w:sz="4" w:space="0" w:color="auto"/>
              <w:right w:val="single" w:sz="4" w:space="0" w:color="auto"/>
            </w:tcBorders>
            <w:shd w:val="clear" w:color="auto" w:fill="auto"/>
            <w:noWrap/>
            <w:vAlign w:val="bottom"/>
            <w:hideMark/>
          </w:tcPr>
          <w:p w14:paraId="47F18182" w14:textId="77777777" w:rsidR="00FC0920" w:rsidRPr="008A0514" w:rsidRDefault="00FC0920" w:rsidP="00FC0920">
            <w:pPr>
              <w:jc w:val="center"/>
              <w:rPr>
                <w:rFonts w:cs="Calibri"/>
                <w:sz w:val="22"/>
                <w:szCs w:val="22"/>
              </w:rPr>
            </w:pPr>
            <w:r w:rsidRPr="008A0514">
              <w:rPr>
                <w:rFonts w:cs="Calibri"/>
                <w:sz w:val="22"/>
                <w:szCs w:val="22"/>
              </w:rPr>
              <w:t>67</w:t>
            </w:r>
          </w:p>
        </w:tc>
      </w:tr>
      <w:tr w:rsidR="00FC0920" w:rsidRPr="008A0514" w14:paraId="23B84684" w14:textId="77777777" w:rsidTr="00FC0920">
        <w:trPr>
          <w:trHeight w:val="20"/>
          <w:jc w:val="center"/>
        </w:trPr>
        <w:tc>
          <w:tcPr>
            <w:tcW w:w="1164" w:type="dxa"/>
            <w:tcBorders>
              <w:top w:val="nil"/>
              <w:left w:val="single" w:sz="4" w:space="0" w:color="auto"/>
              <w:bottom w:val="nil"/>
              <w:right w:val="nil"/>
            </w:tcBorders>
            <w:shd w:val="clear" w:color="000000" w:fill="D9E1F2"/>
            <w:noWrap/>
            <w:vAlign w:val="bottom"/>
            <w:hideMark/>
          </w:tcPr>
          <w:p w14:paraId="481CC0CF" w14:textId="7C8DC7DA" w:rsidR="00FC0920" w:rsidRPr="008A0514" w:rsidRDefault="00FC0920" w:rsidP="00FC0920">
            <w:pPr>
              <w:ind w:firstLineChars="100" w:firstLine="220"/>
              <w:jc w:val="right"/>
              <w:rPr>
                <w:rFonts w:cs="Calibri"/>
                <w:sz w:val="22"/>
                <w:szCs w:val="22"/>
              </w:rPr>
            </w:pPr>
            <w:r>
              <w:rPr>
                <w:rFonts w:cs="Calibri"/>
                <w:sz w:val="22"/>
                <w:szCs w:val="22"/>
              </w:rPr>
              <w:t>Nov-16</w:t>
            </w:r>
          </w:p>
        </w:tc>
        <w:tc>
          <w:tcPr>
            <w:tcW w:w="970" w:type="dxa"/>
            <w:tcBorders>
              <w:top w:val="nil"/>
              <w:left w:val="single" w:sz="4" w:space="0" w:color="auto"/>
              <w:bottom w:val="nil"/>
              <w:right w:val="single" w:sz="4" w:space="0" w:color="auto"/>
            </w:tcBorders>
            <w:shd w:val="clear" w:color="000000" w:fill="D9E1F2"/>
            <w:noWrap/>
            <w:vAlign w:val="bottom"/>
            <w:hideMark/>
          </w:tcPr>
          <w:p w14:paraId="121D9454" w14:textId="77777777" w:rsidR="00FC0920" w:rsidRPr="008A0514" w:rsidRDefault="00FC0920" w:rsidP="00FC0920">
            <w:pPr>
              <w:jc w:val="center"/>
              <w:rPr>
                <w:rFonts w:cs="Calibri"/>
                <w:sz w:val="22"/>
                <w:szCs w:val="22"/>
              </w:rPr>
            </w:pPr>
            <w:r w:rsidRPr="008A0514">
              <w:rPr>
                <w:rFonts w:cs="Calibri"/>
                <w:sz w:val="22"/>
                <w:szCs w:val="22"/>
              </w:rPr>
              <w:t>All</w:t>
            </w:r>
          </w:p>
        </w:tc>
        <w:tc>
          <w:tcPr>
            <w:tcW w:w="1122" w:type="dxa"/>
            <w:tcBorders>
              <w:top w:val="nil"/>
              <w:left w:val="nil"/>
              <w:bottom w:val="nil"/>
              <w:right w:val="nil"/>
            </w:tcBorders>
            <w:shd w:val="clear" w:color="000000" w:fill="D9E1F2"/>
            <w:noWrap/>
            <w:vAlign w:val="bottom"/>
            <w:hideMark/>
          </w:tcPr>
          <w:p w14:paraId="13D006CD" w14:textId="77777777" w:rsidR="00FC0920" w:rsidRPr="008A0514" w:rsidRDefault="00FC0920" w:rsidP="00FC0920">
            <w:pPr>
              <w:ind w:firstLineChars="100" w:firstLine="220"/>
              <w:jc w:val="right"/>
              <w:rPr>
                <w:rFonts w:cs="Calibri"/>
                <w:sz w:val="22"/>
                <w:szCs w:val="22"/>
              </w:rPr>
            </w:pPr>
            <w:r w:rsidRPr="008A0514">
              <w:rPr>
                <w:rFonts w:cs="Calibri"/>
                <w:sz w:val="22"/>
                <w:szCs w:val="22"/>
              </w:rPr>
              <w:t>2,917</w:t>
            </w:r>
          </w:p>
        </w:tc>
        <w:tc>
          <w:tcPr>
            <w:tcW w:w="1090" w:type="dxa"/>
            <w:tcBorders>
              <w:top w:val="nil"/>
              <w:left w:val="single" w:sz="4" w:space="0" w:color="auto"/>
              <w:bottom w:val="nil"/>
              <w:right w:val="nil"/>
            </w:tcBorders>
            <w:shd w:val="clear" w:color="000000" w:fill="D9E1F2"/>
            <w:noWrap/>
            <w:vAlign w:val="bottom"/>
            <w:hideMark/>
          </w:tcPr>
          <w:p w14:paraId="2EA1A75D" w14:textId="77777777" w:rsidR="00FC0920" w:rsidRPr="008A0514" w:rsidRDefault="00FC0920" w:rsidP="00B81B67">
            <w:pPr>
              <w:ind w:firstLineChars="100" w:firstLine="220"/>
              <w:jc w:val="center"/>
              <w:rPr>
                <w:rFonts w:cs="Calibri"/>
                <w:sz w:val="22"/>
                <w:szCs w:val="22"/>
              </w:rPr>
            </w:pPr>
            <w:r w:rsidRPr="008A0514">
              <w:rPr>
                <w:rFonts w:cs="Calibri"/>
                <w:sz w:val="22"/>
                <w:szCs w:val="22"/>
              </w:rPr>
              <w:t>47.88</w:t>
            </w:r>
          </w:p>
        </w:tc>
        <w:tc>
          <w:tcPr>
            <w:tcW w:w="944" w:type="dxa"/>
            <w:tcBorders>
              <w:top w:val="nil"/>
              <w:left w:val="nil"/>
              <w:bottom w:val="nil"/>
              <w:right w:val="single" w:sz="4" w:space="0" w:color="auto"/>
            </w:tcBorders>
            <w:shd w:val="clear" w:color="000000" w:fill="D9E1F2"/>
            <w:noWrap/>
            <w:vAlign w:val="bottom"/>
            <w:hideMark/>
          </w:tcPr>
          <w:p w14:paraId="0A9E59CE"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-0.87</w:t>
            </w:r>
          </w:p>
        </w:tc>
        <w:tc>
          <w:tcPr>
            <w:tcW w:w="1017" w:type="dxa"/>
            <w:tcBorders>
              <w:top w:val="nil"/>
              <w:left w:val="nil"/>
              <w:bottom w:val="nil"/>
              <w:right w:val="nil"/>
            </w:tcBorders>
            <w:shd w:val="clear" w:color="000000" w:fill="D9E1F2"/>
            <w:noWrap/>
            <w:vAlign w:val="bottom"/>
            <w:hideMark/>
          </w:tcPr>
          <w:p w14:paraId="77E7DE18" w14:textId="77777777" w:rsidR="00FC0920" w:rsidRPr="008A0514" w:rsidRDefault="00FC0920" w:rsidP="00B81B67">
            <w:pPr>
              <w:ind w:firstLineChars="100" w:firstLine="220"/>
              <w:jc w:val="center"/>
              <w:rPr>
                <w:rFonts w:cs="Calibri"/>
                <w:sz w:val="22"/>
                <w:szCs w:val="22"/>
              </w:rPr>
            </w:pPr>
            <w:r w:rsidRPr="008A0514">
              <w:rPr>
                <w:rFonts w:cs="Calibri"/>
                <w:sz w:val="22"/>
                <w:szCs w:val="22"/>
              </w:rPr>
              <w:t>16.41</w:t>
            </w:r>
          </w:p>
        </w:tc>
        <w:tc>
          <w:tcPr>
            <w:tcW w:w="1017" w:type="dxa"/>
            <w:tcBorders>
              <w:top w:val="nil"/>
              <w:left w:val="nil"/>
              <w:bottom w:val="nil"/>
              <w:right w:val="nil"/>
            </w:tcBorders>
            <w:shd w:val="clear" w:color="000000" w:fill="D9E1F2"/>
            <w:noWrap/>
            <w:vAlign w:val="bottom"/>
            <w:hideMark/>
          </w:tcPr>
          <w:p w14:paraId="154029A5"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-0.30</w:t>
            </w:r>
          </w:p>
        </w:tc>
        <w:tc>
          <w:tcPr>
            <w:tcW w:w="1155" w:type="dxa"/>
            <w:tcBorders>
              <w:top w:val="nil"/>
              <w:left w:val="single" w:sz="4" w:space="0" w:color="auto"/>
              <w:bottom w:val="nil"/>
              <w:right w:val="single" w:sz="4" w:space="0" w:color="auto"/>
            </w:tcBorders>
            <w:shd w:val="clear" w:color="000000" w:fill="D9E1F2"/>
            <w:noWrap/>
            <w:vAlign w:val="bottom"/>
            <w:hideMark/>
          </w:tcPr>
          <w:p w14:paraId="598A5A35" w14:textId="77777777" w:rsidR="00FC0920" w:rsidRPr="008A0514" w:rsidRDefault="00FC0920" w:rsidP="00FC0920">
            <w:pPr>
              <w:jc w:val="center"/>
              <w:rPr>
                <w:rFonts w:cs="Calibri"/>
                <w:sz w:val="22"/>
                <w:szCs w:val="22"/>
              </w:rPr>
            </w:pPr>
            <w:r w:rsidRPr="008A0514">
              <w:rPr>
                <w:rFonts w:cs="Calibri"/>
                <w:sz w:val="22"/>
                <w:szCs w:val="22"/>
              </w:rPr>
              <w:t>-1.8%</w:t>
            </w:r>
          </w:p>
        </w:tc>
        <w:tc>
          <w:tcPr>
            <w:tcW w:w="878" w:type="dxa"/>
            <w:tcBorders>
              <w:top w:val="nil"/>
              <w:left w:val="nil"/>
              <w:bottom w:val="nil"/>
              <w:right w:val="single" w:sz="4" w:space="0" w:color="auto"/>
            </w:tcBorders>
            <w:shd w:val="clear" w:color="000000" w:fill="D9E1F2"/>
            <w:noWrap/>
            <w:vAlign w:val="bottom"/>
            <w:hideMark/>
          </w:tcPr>
          <w:p w14:paraId="2BB39718" w14:textId="77777777" w:rsidR="00FC0920" w:rsidRPr="008A0514" w:rsidRDefault="00FC0920" w:rsidP="00FC0920">
            <w:pPr>
              <w:jc w:val="center"/>
              <w:rPr>
                <w:rFonts w:cs="Calibri"/>
                <w:sz w:val="22"/>
                <w:szCs w:val="22"/>
              </w:rPr>
            </w:pPr>
            <w:r w:rsidRPr="008A0514">
              <w:rPr>
                <w:rFonts w:cs="Calibri"/>
                <w:sz w:val="22"/>
                <w:szCs w:val="22"/>
              </w:rPr>
              <w:t>63</w:t>
            </w:r>
          </w:p>
        </w:tc>
      </w:tr>
      <w:tr w:rsidR="00FC0920" w:rsidRPr="008A0514" w14:paraId="2009C58A" w14:textId="77777777" w:rsidTr="00FC0920">
        <w:trPr>
          <w:trHeight w:val="20"/>
          <w:jc w:val="center"/>
        </w:trPr>
        <w:tc>
          <w:tcPr>
            <w:tcW w:w="1164" w:type="dxa"/>
            <w:tcBorders>
              <w:top w:val="nil"/>
              <w:left w:val="single" w:sz="4" w:space="0" w:color="auto"/>
              <w:bottom w:val="nil"/>
              <w:right w:val="nil"/>
            </w:tcBorders>
            <w:shd w:val="clear" w:color="000000" w:fill="D9E1F2"/>
            <w:noWrap/>
            <w:vAlign w:val="bottom"/>
            <w:hideMark/>
          </w:tcPr>
          <w:p w14:paraId="6F7604C6" w14:textId="31E43DB8" w:rsidR="00FC0920" w:rsidRPr="008A0514" w:rsidRDefault="00FC0920" w:rsidP="00FC0920">
            <w:pPr>
              <w:ind w:firstLineChars="100" w:firstLine="220"/>
              <w:jc w:val="right"/>
              <w:rPr>
                <w:rFonts w:cs="Calibri"/>
                <w:sz w:val="22"/>
                <w:szCs w:val="22"/>
              </w:rPr>
            </w:pPr>
            <w:r>
              <w:rPr>
                <w:rFonts w:cs="Calibri"/>
                <w:sz w:val="22"/>
                <w:szCs w:val="22"/>
              </w:rPr>
              <w:t>Dec-16</w:t>
            </w:r>
          </w:p>
        </w:tc>
        <w:tc>
          <w:tcPr>
            <w:tcW w:w="970" w:type="dxa"/>
            <w:tcBorders>
              <w:top w:val="nil"/>
              <w:left w:val="single" w:sz="4" w:space="0" w:color="auto"/>
              <w:bottom w:val="nil"/>
              <w:right w:val="single" w:sz="4" w:space="0" w:color="auto"/>
            </w:tcBorders>
            <w:shd w:val="clear" w:color="000000" w:fill="D9E1F2"/>
            <w:noWrap/>
            <w:vAlign w:val="bottom"/>
            <w:hideMark/>
          </w:tcPr>
          <w:p w14:paraId="1DA2236E" w14:textId="77777777" w:rsidR="00FC0920" w:rsidRPr="008A0514" w:rsidRDefault="00FC0920" w:rsidP="00FC0920">
            <w:pPr>
              <w:jc w:val="center"/>
              <w:rPr>
                <w:rFonts w:cs="Calibri"/>
                <w:sz w:val="22"/>
                <w:szCs w:val="22"/>
              </w:rPr>
            </w:pPr>
            <w:r w:rsidRPr="008A0514">
              <w:rPr>
                <w:rFonts w:cs="Calibri"/>
                <w:sz w:val="22"/>
                <w:szCs w:val="22"/>
              </w:rPr>
              <w:t>All</w:t>
            </w:r>
          </w:p>
        </w:tc>
        <w:tc>
          <w:tcPr>
            <w:tcW w:w="1122" w:type="dxa"/>
            <w:tcBorders>
              <w:top w:val="nil"/>
              <w:left w:val="nil"/>
              <w:bottom w:val="nil"/>
              <w:right w:val="nil"/>
            </w:tcBorders>
            <w:shd w:val="clear" w:color="000000" w:fill="D9E1F2"/>
            <w:noWrap/>
            <w:vAlign w:val="bottom"/>
            <w:hideMark/>
          </w:tcPr>
          <w:p w14:paraId="70360468" w14:textId="77777777" w:rsidR="00FC0920" w:rsidRPr="008A0514" w:rsidRDefault="00FC0920" w:rsidP="00FC0920">
            <w:pPr>
              <w:ind w:firstLineChars="100" w:firstLine="220"/>
              <w:jc w:val="right"/>
              <w:rPr>
                <w:rFonts w:cs="Calibri"/>
                <w:sz w:val="22"/>
                <w:szCs w:val="22"/>
              </w:rPr>
            </w:pPr>
            <w:r w:rsidRPr="008A0514">
              <w:rPr>
                <w:rFonts w:cs="Calibri"/>
                <w:sz w:val="22"/>
                <w:szCs w:val="22"/>
              </w:rPr>
              <w:t>3,053</w:t>
            </w:r>
          </w:p>
        </w:tc>
        <w:tc>
          <w:tcPr>
            <w:tcW w:w="1090" w:type="dxa"/>
            <w:tcBorders>
              <w:top w:val="nil"/>
              <w:left w:val="single" w:sz="4" w:space="0" w:color="auto"/>
              <w:bottom w:val="nil"/>
              <w:right w:val="nil"/>
            </w:tcBorders>
            <w:shd w:val="clear" w:color="000000" w:fill="D9E1F2"/>
            <w:noWrap/>
            <w:vAlign w:val="bottom"/>
            <w:hideMark/>
          </w:tcPr>
          <w:p w14:paraId="6353F4A1" w14:textId="77777777" w:rsidR="00FC0920" w:rsidRPr="008A0514" w:rsidRDefault="00FC0920" w:rsidP="00B81B67">
            <w:pPr>
              <w:ind w:firstLineChars="100" w:firstLine="220"/>
              <w:jc w:val="center"/>
              <w:rPr>
                <w:rFonts w:cs="Calibri"/>
                <w:sz w:val="22"/>
                <w:szCs w:val="22"/>
              </w:rPr>
            </w:pPr>
            <w:r w:rsidRPr="008A0514">
              <w:rPr>
                <w:rFonts w:cs="Calibri"/>
                <w:sz w:val="22"/>
                <w:szCs w:val="22"/>
              </w:rPr>
              <w:t>54.85</w:t>
            </w:r>
          </w:p>
        </w:tc>
        <w:tc>
          <w:tcPr>
            <w:tcW w:w="944" w:type="dxa"/>
            <w:tcBorders>
              <w:top w:val="nil"/>
              <w:left w:val="nil"/>
              <w:bottom w:val="nil"/>
              <w:right w:val="single" w:sz="4" w:space="0" w:color="auto"/>
            </w:tcBorders>
            <w:shd w:val="clear" w:color="000000" w:fill="D9E1F2"/>
            <w:noWrap/>
            <w:vAlign w:val="bottom"/>
            <w:hideMark/>
          </w:tcPr>
          <w:p w14:paraId="26DC9F3A"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0.69</w:t>
            </w:r>
          </w:p>
        </w:tc>
        <w:tc>
          <w:tcPr>
            <w:tcW w:w="1017" w:type="dxa"/>
            <w:tcBorders>
              <w:top w:val="nil"/>
              <w:left w:val="nil"/>
              <w:bottom w:val="nil"/>
              <w:right w:val="nil"/>
            </w:tcBorders>
            <w:shd w:val="clear" w:color="000000" w:fill="D9E1F2"/>
            <w:noWrap/>
            <w:vAlign w:val="bottom"/>
            <w:hideMark/>
          </w:tcPr>
          <w:p w14:paraId="78D54CA2" w14:textId="77777777" w:rsidR="00FC0920" w:rsidRPr="008A0514" w:rsidRDefault="00FC0920" w:rsidP="00B81B67">
            <w:pPr>
              <w:ind w:firstLineChars="100" w:firstLine="220"/>
              <w:jc w:val="center"/>
              <w:rPr>
                <w:rFonts w:cs="Calibri"/>
                <w:sz w:val="22"/>
                <w:szCs w:val="22"/>
              </w:rPr>
            </w:pPr>
            <w:r w:rsidRPr="008A0514">
              <w:rPr>
                <w:rFonts w:cs="Calibri"/>
                <w:sz w:val="22"/>
                <w:szCs w:val="22"/>
              </w:rPr>
              <w:t>17.96</w:t>
            </w:r>
          </w:p>
        </w:tc>
        <w:tc>
          <w:tcPr>
            <w:tcW w:w="1017" w:type="dxa"/>
            <w:tcBorders>
              <w:top w:val="nil"/>
              <w:left w:val="nil"/>
              <w:bottom w:val="nil"/>
              <w:right w:val="nil"/>
            </w:tcBorders>
            <w:shd w:val="clear" w:color="000000" w:fill="D9E1F2"/>
            <w:noWrap/>
            <w:vAlign w:val="bottom"/>
            <w:hideMark/>
          </w:tcPr>
          <w:p w14:paraId="29E9D784"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0.23</w:t>
            </w:r>
          </w:p>
        </w:tc>
        <w:tc>
          <w:tcPr>
            <w:tcW w:w="1155" w:type="dxa"/>
            <w:tcBorders>
              <w:top w:val="nil"/>
              <w:left w:val="single" w:sz="4" w:space="0" w:color="auto"/>
              <w:bottom w:val="nil"/>
              <w:right w:val="single" w:sz="4" w:space="0" w:color="auto"/>
            </w:tcBorders>
            <w:shd w:val="clear" w:color="000000" w:fill="D9E1F2"/>
            <w:noWrap/>
            <w:vAlign w:val="bottom"/>
            <w:hideMark/>
          </w:tcPr>
          <w:p w14:paraId="0AFDB5C1" w14:textId="77777777" w:rsidR="00FC0920" w:rsidRPr="008A0514" w:rsidRDefault="00FC0920" w:rsidP="00FC0920">
            <w:pPr>
              <w:jc w:val="center"/>
              <w:rPr>
                <w:rFonts w:cs="Calibri"/>
                <w:sz w:val="22"/>
                <w:szCs w:val="22"/>
              </w:rPr>
            </w:pPr>
            <w:r w:rsidRPr="008A0514">
              <w:rPr>
                <w:rFonts w:cs="Calibri"/>
                <w:sz w:val="22"/>
                <w:szCs w:val="22"/>
              </w:rPr>
              <w:t>1.3%</w:t>
            </w:r>
          </w:p>
        </w:tc>
        <w:tc>
          <w:tcPr>
            <w:tcW w:w="878" w:type="dxa"/>
            <w:tcBorders>
              <w:top w:val="nil"/>
              <w:left w:val="nil"/>
              <w:bottom w:val="nil"/>
              <w:right w:val="single" w:sz="4" w:space="0" w:color="auto"/>
            </w:tcBorders>
            <w:shd w:val="clear" w:color="000000" w:fill="D9E1F2"/>
            <w:noWrap/>
            <w:vAlign w:val="bottom"/>
            <w:hideMark/>
          </w:tcPr>
          <w:p w14:paraId="42325593" w14:textId="77777777" w:rsidR="00FC0920" w:rsidRPr="008A0514" w:rsidRDefault="00FC0920" w:rsidP="00FC0920">
            <w:pPr>
              <w:jc w:val="center"/>
              <w:rPr>
                <w:rFonts w:cs="Calibri"/>
                <w:sz w:val="22"/>
                <w:szCs w:val="22"/>
              </w:rPr>
            </w:pPr>
            <w:r w:rsidRPr="008A0514">
              <w:rPr>
                <w:rFonts w:cs="Calibri"/>
                <w:sz w:val="22"/>
                <w:szCs w:val="22"/>
              </w:rPr>
              <w:t>58</w:t>
            </w:r>
          </w:p>
        </w:tc>
      </w:tr>
      <w:tr w:rsidR="00FC0920" w:rsidRPr="008A0514" w14:paraId="27AAFC69" w14:textId="77777777" w:rsidTr="00FC0920">
        <w:trPr>
          <w:trHeight w:val="20"/>
          <w:jc w:val="center"/>
        </w:trPr>
        <w:tc>
          <w:tcPr>
            <w:tcW w:w="1164" w:type="dxa"/>
            <w:tcBorders>
              <w:top w:val="nil"/>
              <w:left w:val="single" w:sz="4" w:space="0" w:color="auto"/>
              <w:bottom w:val="nil"/>
              <w:right w:val="nil"/>
            </w:tcBorders>
            <w:shd w:val="clear" w:color="000000" w:fill="D9E1F2"/>
            <w:noWrap/>
            <w:vAlign w:val="bottom"/>
            <w:hideMark/>
          </w:tcPr>
          <w:p w14:paraId="31EC1082" w14:textId="24CE3DC8" w:rsidR="00FC0920" w:rsidRPr="008A0514" w:rsidRDefault="00FC0920" w:rsidP="00FC0920">
            <w:pPr>
              <w:ind w:firstLineChars="100" w:firstLine="220"/>
              <w:jc w:val="right"/>
              <w:rPr>
                <w:rFonts w:cs="Calibri"/>
                <w:sz w:val="22"/>
                <w:szCs w:val="22"/>
              </w:rPr>
            </w:pPr>
            <w:r>
              <w:rPr>
                <w:rFonts w:cs="Calibri"/>
                <w:sz w:val="22"/>
                <w:szCs w:val="22"/>
              </w:rPr>
              <w:t>Jan-17</w:t>
            </w:r>
          </w:p>
        </w:tc>
        <w:tc>
          <w:tcPr>
            <w:tcW w:w="970" w:type="dxa"/>
            <w:tcBorders>
              <w:top w:val="nil"/>
              <w:left w:val="single" w:sz="4" w:space="0" w:color="auto"/>
              <w:bottom w:val="nil"/>
              <w:right w:val="single" w:sz="4" w:space="0" w:color="auto"/>
            </w:tcBorders>
            <w:shd w:val="clear" w:color="000000" w:fill="D9E1F2"/>
            <w:noWrap/>
            <w:vAlign w:val="bottom"/>
            <w:hideMark/>
          </w:tcPr>
          <w:p w14:paraId="484208BE" w14:textId="77777777" w:rsidR="00FC0920" w:rsidRPr="008A0514" w:rsidRDefault="00FC0920" w:rsidP="00FC0920">
            <w:pPr>
              <w:jc w:val="center"/>
              <w:rPr>
                <w:rFonts w:cs="Calibri"/>
                <w:sz w:val="22"/>
                <w:szCs w:val="22"/>
              </w:rPr>
            </w:pPr>
            <w:r w:rsidRPr="008A0514">
              <w:rPr>
                <w:rFonts w:cs="Calibri"/>
                <w:sz w:val="22"/>
                <w:szCs w:val="22"/>
              </w:rPr>
              <w:t>All</w:t>
            </w:r>
          </w:p>
        </w:tc>
        <w:tc>
          <w:tcPr>
            <w:tcW w:w="1122" w:type="dxa"/>
            <w:tcBorders>
              <w:top w:val="nil"/>
              <w:left w:val="nil"/>
              <w:bottom w:val="nil"/>
              <w:right w:val="nil"/>
            </w:tcBorders>
            <w:shd w:val="clear" w:color="000000" w:fill="D9E1F2"/>
            <w:noWrap/>
            <w:vAlign w:val="bottom"/>
            <w:hideMark/>
          </w:tcPr>
          <w:p w14:paraId="28563FBC" w14:textId="77777777" w:rsidR="00FC0920" w:rsidRPr="008A0514" w:rsidRDefault="00FC0920" w:rsidP="00FC0920">
            <w:pPr>
              <w:ind w:firstLineChars="100" w:firstLine="220"/>
              <w:jc w:val="right"/>
              <w:rPr>
                <w:rFonts w:cs="Calibri"/>
                <w:sz w:val="22"/>
                <w:szCs w:val="22"/>
              </w:rPr>
            </w:pPr>
            <w:r w:rsidRPr="008A0514">
              <w:rPr>
                <w:rFonts w:cs="Calibri"/>
                <w:sz w:val="22"/>
                <w:szCs w:val="22"/>
              </w:rPr>
              <w:t>3,251</w:t>
            </w:r>
          </w:p>
        </w:tc>
        <w:tc>
          <w:tcPr>
            <w:tcW w:w="1090" w:type="dxa"/>
            <w:tcBorders>
              <w:top w:val="nil"/>
              <w:left w:val="single" w:sz="4" w:space="0" w:color="auto"/>
              <w:bottom w:val="nil"/>
              <w:right w:val="nil"/>
            </w:tcBorders>
            <w:shd w:val="clear" w:color="000000" w:fill="D9E1F2"/>
            <w:noWrap/>
            <w:vAlign w:val="bottom"/>
            <w:hideMark/>
          </w:tcPr>
          <w:p w14:paraId="0FD7D98E" w14:textId="77777777" w:rsidR="00FC0920" w:rsidRPr="008A0514" w:rsidRDefault="00FC0920" w:rsidP="00B81B67">
            <w:pPr>
              <w:ind w:firstLineChars="100" w:firstLine="220"/>
              <w:jc w:val="center"/>
              <w:rPr>
                <w:rFonts w:cs="Calibri"/>
                <w:sz w:val="22"/>
                <w:szCs w:val="22"/>
              </w:rPr>
            </w:pPr>
            <w:r w:rsidRPr="008A0514">
              <w:rPr>
                <w:rFonts w:cs="Calibri"/>
                <w:sz w:val="22"/>
                <w:szCs w:val="22"/>
              </w:rPr>
              <w:t>57.57</w:t>
            </w:r>
          </w:p>
        </w:tc>
        <w:tc>
          <w:tcPr>
            <w:tcW w:w="944" w:type="dxa"/>
            <w:tcBorders>
              <w:top w:val="nil"/>
              <w:left w:val="nil"/>
              <w:bottom w:val="nil"/>
              <w:right w:val="single" w:sz="4" w:space="0" w:color="auto"/>
            </w:tcBorders>
            <w:shd w:val="clear" w:color="000000" w:fill="D9E1F2"/>
            <w:noWrap/>
            <w:vAlign w:val="bottom"/>
            <w:hideMark/>
          </w:tcPr>
          <w:p w14:paraId="66C1D049"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0.20</w:t>
            </w:r>
          </w:p>
        </w:tc>
        <w:tc>
          <w:tcPr>
            <w:tcW w:w="1017" w:type="dxa"/>
            <w:tcBorders>
              <w:top w:val="nil"/>
              <w:left w:val="nil"/>
              <w:bottom w:val="nil"/>
              <w:right w:val="nil"/>
            </w:tcBorders>
            <w:shd w:val="clear" w:color="000000" w:fill="D9E1F2"/>
            <w:noWrap/>
            <w:vAlign w:val="bottom"/>
            <w:hideMark/>
          </w:tcPr>
          <w:p w14:paraId="34606719" w14:textId="77777777" w:rsidR="00FC0920" w:rsidRPr="008A0514" w:rsidRDefault="00FC0920" w:rsidP="00B81B67">
            <w:pPr>
              <w:ind w:firstLineChars="100" w:firstLine="220"/>
              <w:jc w:val="center"/>
              <w:rPr>
                <w:rFonts w:cs="Calibri"/>
                <w:sz w:val="22"/>
                <w:szCs w:val="22"/>
              </w:rPr>
            </w:pPr>
            <w:r w:rsidRPr="008A0514">
              <w:rPr>
                <w:rFonts w:cs="Calibri"/>
                <w:sz w:val="22"/>
                <w:szCs w:val="22"/>
              </w:rPr>
              <w:t>17.71</w:t>
            </w:r>
          </w:p>
        </w:tc>
        <w:tc>
          <w:tcPr>
            <w:tcW w:w="1017" w:type="dxa"/>
            <w:tcBorders>
              <w:top w:val="nil"/>
              <w:left w:val="nil"/>
              <w:bottom w:val="nil"/>
              <w:right w:val="nil"/>
            </w:tcBorders>
            <w:shd w:val="clear" w:color="000000" w:fill="D9E1F2"/>
            <w:noWrap/>
            <w:vAlign w:val="bottom"/>
            <w:hideMark/>
          </w:tcPr>
          <w:p w14:paraId="715FF71B"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0.06</w:t>
            </w:r>
          </w:p>
        </w:tc>
        <w:tc>
          <w:tcPr>
            <w:tcW w:w="1155" w:type="dxa"/>
            <w:tcBorders>
              <w:top w:val="nil"/>
              <w:left w:val="single" w:sz="4" w:space="0" w:color="auto"/>
              <w:bottom w:val="nil"/>
              <w:right w:val="single" w:sz="4" w:space="0" w:color="auto"/>
            </w:tcBorders>
            <w:shd w:val="clear" w:color="000000" w:fill="D9E1F2"/>
            <w:noWrap/>
            <w:vAlign w:val="bottom"/>
            <w:hideMark/>
          </w:tcPr>
          <w:p w14:paraId="0997BC86" w14:textId="77777777" w:rsidR="00FC0920" w:rsidRPr="008A0514" w:rsidRDefault="00FC0920" w:rsidP="00FC0920">
            <w:pPr>
              <w:jc w:val="center"/>
              <w:rPr>
                <w:rFonts w:cs="Calibri"/>
                <w:sz w:val="22"/>
                <w:szCs w:val="22"/>
              </w:rPr>
            </w:pPr>
            <w:r w:rsidRPr="008A0514">
              <w:rPr>
                <w:rFonts w:cs="Calibri"/>
                <w:sz w:val="22"/>
                <w:szCs w:val="22"/>
              </w:rPr>
              <w:t>0.3%</w:t>
            </w:r>
          </w:p>
        </w:tc>
        <w:tc>
          <w:tcPr>
            <w:tcW w:w="878" w:type="dxa"/>
            <w:tcBorders>
              <w:top w:val="nil"/>
              <w:left w:val="nil"/>
              <w:bottom w:val="nil"/>
              <w:right w:val="single" w:sz="4" w:space="0" w:color="auto"/>
            </w:tcBorders>
            <w:shd w:val="clear" w:color="000000" w:fill="D9E1F2"/>
            <w:noWrap/>
            <w:vAlign w:val="bottom"/>
            <w:hideMark/>
          </w:tcPr>
          <w:p w14:paraId="1D2821F2" w14:textId="77777777" w:rsidR="00FC0920" w:rsidRPr="008A0514" w:rsidRDefault="00FC0920" w:rsidP="00FC0920">
            <w:pPr>
              <w:jc w:val="center"/>
              <w:rPr>
                <w:rFonts w:cs="Calibri"/>
                <w:sz w:val="22"/>
                <w:szCs w:val="22"/>
              </w:rPr>
            </w:pPr>
            <w:r w:rsidRPr="008A0514">
              <w:rPr>
                <w:rFonts w:cs="Calibri"/>
                <w:sz w:val="22"/>
                <w:szCs w:val="22"/>
              </w:rPr>
              <w:t>54</w:t>
            </w:r>
          </w:p>
        </w:tc>
      </w:tr>
      <w:tr w:rsidR="00FC0920" w:rsidRPr="008A0514" w14:paraId="61986740" w14:textId="77777777" w:rsidTr="00FC0920">
        <w:trPr>
          <w:trHeight w:val="20"/>
          <w:jc w:val="center"/>
        </w:trPr>
        <w:tc>
          <w:tcPr>
            <w:tcW w:w="1164" w:type="dxa"/>
            <w:tcBorders>
              <w:top w:val="nil"/>
              <w:left w:val="single" w:sz="4" w:space="0" w:color="auto"/>
              <w:bottom w:val="nil"/>
              <w:right w:val="nil"/>
            </w:tcBorders>
            <w:shd w:val="clear" w:color="000000" w:fill="D9E1F2"/>
            <w:noWrap/>
            <w:vAlign w:val="bottom"/>
            <w:hideMark/>
          </w:tcPr>
          <w:p w14:paraId="65A20429" w14:textId="7BD1E25B" w:rsidR="00FC0920" w:rsidRPr="008A0514" w:rsidRDefault="00FC0920" w:rsidP="00FC0920">
            <w:pPr>
              <w:ind w:firstLineChars="100" w:firstLine="220"/>
              <w:jc w:val="right"/>
              <w:rPr>
                <w:rFonts w:cs="Calibri"/>
                <w:sz w:val="22"/>
                <w:szCs w:val="22"/>
              </w:rPr>
            </w:pPr>
            <w:r>
              <w:rPr>
                <w:rFonts w:cs="Calibri"/>
                <w:sz w:val="22"/>
                <w:szCs w:val="22"/>
              </w:rPr>
              <w:t>Feb-17</w:t>
            </w:r>
          </w:p>
        </w:tc>
        <w:tc>
          <w:tcPr>
            <w:tcW w:w="970" w:type="dxa"/>
            <w:tcBorders>
              <w:top w:val="nil"/>
              <w:left w:val="single" w:sz="4" w:space="0" w:color="auto"/>
              <w:bottom w:val="nil"/>
              <w:right w:val="single" w:sz="4" w:space="0" w:color="auto"/>
            </w:tcBorders>
            <w:shd w:val="clear" w:color="000000" w:fill="D9E1F2"/>
            <w:noWrap/>
            <w:vAlign w:val="bottom"/>
            <w:hideMark/>
          </w:tcPr>
          <w:p w14:paraId="138685B2" w14:textId="77777777" w:rsidR="00FC0920" w:rsidRPr="008A0514" w:rsidRDefault="00FC0920" w:rsidP="00FC0920">
            <w:pPr>
              <w:jc w:val="center"/>
              <w:rPr>
                <w:rFonts w:cs="Calibri"/>
                <w:sz w:val="22"/>
                <w:szCs w:val="22"/>
              </w:rPr>
            </w:pPr>
            <w:r w:rsidRPr="008A0514">
              <w:rPr>
                <w:rFonts w:cs="Calibri"/>
                <w:sz w:val="22"/>
                <w:szCs w:val="22"/>
              </w:rPr>
              <w:t>All</w:t>
            </w:r>
          </w:p>
        </w:tc>
        <w:tc>
          <w:tcPr>
            <w:tcW w:w="1122" w:type="dxa"/>
            <w:tcBorders>
              <w:top w:val="nil"/>
              <w:left w:val="nil"/>
              <w:bottom w:val="nil"/>
              <w:right w:val="nil"/>
            </w:tcBorders>
            <w:shd w:val="clear" w:color="000000" w:fill="D9E1F2"/>
            <w:noWrap/>
            <w:vAlign w:val="bottom"/>
            <w:hideMark/>
          </w:tcPr>
          <w:p w14:paraId="2AC3A740" w14:textId="77777777" w:rsidR="00FC0920" w:rsidRPr="008A0514" w:rsidRDefault="00FC0920" w:rsidP="00FC0920">
            <w:pPr>
              <w:ind w:firstLineChars="100" w:firstLine="220"/>
              <w:jc w:val="right"/>
              <w:rPr>
                <w:rFonts w:cs="Calibri"/>
                <w:sz w:val="22"/>
                <w:szCs w:val="22"/>
              </w:rPr>
            </w:pPr>
            <w:r w:rsidRPr="008A0514">
              <w:rPr>
                <w:rFonts w:cs="Calibri"/>
                <w:sz w:val="22"/>
                <w:szCs w:val="22"/>
              </w:rPr>
              <w:t>3,466</w:t>
            </w:r>
          </w:p>
        </w:tc>
        <w:tc>
          <w:tcPr>
            <w:tcW w:w="1090" w:type="dxa"/>
            <w:tcBorders>
              <w:top w:val="nil"/>
              <w:left w:val="single" w:sz="4" w:space="0" w:color="auto"/>
              <w:bottom w:val="nil"/>
              <w:right w:val="nil"/>
            </w:tcBorders>
            <w:shd w:val="clear" w:color="000000" w:fill="D9E1F2"/>
            <w:noWrap/>
            <w:vAlign w:val="bottom"/>
            <w:hideMark/>
          </w:tcPr>
          <w:p w14:paraId="2EF414D3" w14:textId="77777777" w:rsidR="00FC0920" w:rsidRPr="008A0514" w:rsidRDefault="00FC0920" w:rsidP="00B81B67">
            <w:pPr>
              <w:ind w:firstLineChars="100" w:firstLine="220"/>
              <w:jc w:val="center"/>
              <w:rPr>
                <w:rFonts w:cs="Calibri"/>
                <w:sz w:val="22"/>
                <w:szCs w:val="22"/>
              </w:rPr>
            </w:pPr>
            <w:r w:rsidRPr="008A0514">
              <w:rPr>
                <w:rFonts w:cs="Calibri"/>
                <w:sz w:val="22"/>
                <w:szCs w:val="22"/>
              </w:rPr>
              <w:t>57.27</w:t>
            </w:r>
          </w:p>
        </w:tc>
        <w:tc>
          <w:tcPr>
            <w:tcW w:w="944" w:type="dxa"/>
            <w:tcBorders>
              <w:top w:val="nil"/>
              <w:left w:val="nil"/>
              <w:bottom w:val="nil"/>
              <w:right w:val="single" w:sz="4" w:space="0" w:color="auto"/>
            </w:tcBorders>
            <w:shd w:val="clear" w:color="000000" w:fill="D9E1F2"/>
            <w:noWrap/>
            <w:vAlign w:val="bottom"/>
            <w:hideMark/>
          </w:tcPr>
          <w:p w14:paraId="64CF9C92" w14:textId="77777777" w:rsidR="00FC0920" w:rsidRPr="008A0514" w:rsidRDefault="00FC0920" w:rsidP="00B81B67">
            <w:pPr>
              <w:ind w:firstLineChars="100" w:firstLine="220"/>
              <w:jc w:val="center"/>
              <w:rPr>
                <w:rFonts w:cs="Calibri"/>
                <w:sz w:val="22"/>
                <w:szCs w:val="22"/>
              </w:rPr>
            </w:pPr>
            <w:r w:rsidRPr="008A0514">
              <w:rPr>
                <w:rFonts w:cs="Calibri"/>
                <w:sz w:val="22"/>
                <w:szCs w:val="22"/>
              </w:rPr>
              <w:t>1.14</w:t>
            </w:r>
          </w:p>
        </w:tc>
        <w:tc>
          <w:tcPr>
            <w:tcW w:w="1017" w:type="dxa"/>
            <w:tcBorders>
              <w:top w:val="nil"/>
              <w:left w:val="nil"/>
              <w:bottom w:val="nil"/>
              <w:right w:val="nil"/>
            </w:tcBorders>
            <w:shd w:val="clear" w:color="000000" w:fill="D9E1F2"/>
            <w:noWrap/>
            <w:vAlign w:val="bottom"/>
            <w:hideMark/>
          </w:tcPr>
          <w:p w14:paraId="0BB6768B" w14:textId="77777777" w:rsidR="00FC0920" w:rsidRPr="008A0514" w:rsidRDefault="00FC0920" w:rsidP="00B81B67">
            <w:pPr>
              <w:ind w:firstLineChars="100" w:firstLine="220"/>
              <w:jc w:val="center"/>
              <w:rPr>
                <w:rFonts w:cs="Calibri"/>
                <w:sz w:val="22"/>
                <w:szCs w:val="22"/>
              </w:rPr>
            </w:pPr>
            <w:r w:rsidRPr="008A0514">
              <w:rPr>
                <w:rFonts w:cs="Calibri"/>
                <w:sz w:val="22"/>
                <w:szCs w:val="22"/>
              </w:rPr>
              <w:t>16.52</w:t>
            </w:r>
          </w:p>
        </w:tc>
        <w:tc>
          <w:tcPr>
            <w:tcW w:w="1017" w:type="dxa"/>
            <w:tcBorders>
              <w:top w:val="nil"/>
              <w:left w:val="nil"/>
              <w:bottom w:val="nil"/>
              <w:right w:val="nil"/>
            </w:tcBorders>
            <w:shd w:val="clear" w:color="000000" w:fill="D9E1F2"/>
            <w:noWrap/>
            <w:vAlign w:val="bottom"/>
            <w:hideMark/>
          </w:tcPr>
          <w:p w14:paraId="71EE5C61"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0.33</w:t>
            </w:r>
          </w:p>
        </w:tc>
        <w:tc>
          <w:tcPr>
            <w:tcW w:w="1155" w:type="dxa"/>
            <w:tcBorders>
              <w:top w:val="nil"/>
              <w:left w:val="single" w:sz="4" w:space="0" w:color="auto"/>
              <w:bottom w:val="nil"/>
              <w:right w:val="single" w:sz="4" w:space="0" w:color="auto"/>
            </w:tcBorders>
            <w:shd w:val="clear" w:color="000000" w:fill="D9E1F2"/>
            <w:noWrap/>
            <w:vAlign w:val="bottom"/>
            <w:hideMark/>
          </w:tcPr>
          <w:p w14:paraId="605AE3AE" w14:textId="77777777" w:rsidR="00FC0920" w:rsidRPr="008A0514" w:rsidRDefault="00FC0920" w:rsidP="00FC0920">
            <w:pPr>
              <w:jc w:val="center"/>
              <w:rPr>
                <w:rFonts w:cs="Calibri"/>
                <w:sz w:val="22"/>
                <w:szCs w:val="22"/>
              </w:rPr>
            </w:pPr>
            <w:r w:rsidRPr="008A0514">
              <w:rPr>
                <w:rFonts w:cs="Calibri"/>
                <w:sz w:val="22"/>
                <w:szCs w:val="22"/>
              </w:rPr>
              <w:t>2.0%</w:t>
            </w:r>
          </w:p>
        </w:tc>
        <w:tc>
          <w:tcPr>
            <w:tcW w:w="878" w:type="dxa"/>
            <w:tcBorders>
              <w:top w:val="nil"/>
              <w:left w:val="nil"/>
              <w:bottom w:val="nil"/>
              <w:right w:val="single" w:sz="4" w:space="0" w:color="auto"/>
            </w:tcBorders>
            <w:shd w:val="clear" w:color="000000" w:fill="D9E1F2"/>
            <w:noWrap/>
            <w:vAlign w:val="bottom"/>
            <w:hideMark/>
          </w:tcPr>
          <w:p w14:paraId="19DD8086" w14:textId="77777777" w:rsidR="00FC0920" w:rsidRPr="008A0514" w:rsidRDefault="00FC0920" w:rsidP="00FC0920">
            <w:pPr>
              <w:jc w:val="center"/>
              <w:rPr>
                <w:rFonts w:cs="Calibri"/>
                <w:sz w:val="22"/>
                <w:szCs w:val="22"/>
              </w:rPr>
            </w:pPr>
            <w:r w:rsidRPr="008A0514">
              <w:rPr>
                <w:rFonts w:cs="Calibri"/>
                <w:sz w:val="22"/>
                <w:szCs w:val="22"/>
              </w:rPr>
              <w:t>57</w:t>
            </w:r>
          </w:p>
        </w:tc>
      </w:tr>
      <w:tr w:rsidR="00FC0920" w:rsidRPr="008A0514" w14:paraId="6C9424CA" w14:textId="77777777" w:rsidTr="00FC0920">
        <w:trPr>
          <w:trHeight w:val="20"/>
          <w:jc w:val="center"/>
        </w:trPr>
        <w:tc>
          <w:tcPr>
            <w:tcW w:w="1164" w:type="dxa"/>
            <w:tcBorders>
              <w:top w:val="nil"/>
              <w:left w:val="single" w:sz="4" w:space="0" w:color="auto"/>
              <w:bottom w:val="nil"/>
              <w:right w:val="nil"/>
            </w:tcBorders>
            <w:shd w:val="clear" w:color="000000" w:fill="D9E1F2"/>
            <w:noWrap/>
            <w:vAlign w:val="bottom"/>
            <w:hideMark/>
          </w:tcPr>
          <w:p w14:paraId="2EBDE289" w14:textId="3066F2DA" w:rsidR="00FC0920" w:rsidRPr="008A0514" w:rsidRDefault="00FC0920" w:rsidP="00FC0920">
            <w:pPr>
              <w:ind w:firstLineChars="100" w:firstLine="220"/>
              <w:jc w:val="right"/>
              <w:rPr>
                <w:rFonts w:cs="Calibri"/>
                <w:sz w:val="22"/>
                <w:szCs w:val="22"/>
              </w:rPr>
            </w:pPr>
            <w:r>
              <w:rPr>
                <w:rFonts w:cs="Calibri"/>
                <w:sz w:val="22"/>
                <w:szCs w:val="22"/>
              </w:rPr>
              <w:t>Mar-17</w:t>
            </w:r>
          </w:p>
        </w:tc>
        <w:tc>
          <w:tcPr>
            <w:tcW w:w="970" w:type="dxa"/>
            <w:tcBorders>
              <w:top w:val="nil"/>
              <w:left w:val="single" w:sz="4" w:space="0" w:color="auto"/>
              <w:bottom w:val="nil"/>
              <w:right w:val="single" w:sz="4" w:space="0" w:color="auto"/>
            </w:tcBorders>
            <w:shd w:val="clear" w:color="000000" w:fill="D9E1F2"/>
            <w:noWrap/>
            <w:vAlign w:val="bottom"/>
            <w:hideMark/>
          </w:tcPr>
          <w:p w14:paraId="45A864E8" w14:textId="77777777" w:rsidR="00FC0920" w:rsidRPr="008A0514" w:rsidRDefault="00FC0920" w:rsidP="00FC0920">
            <w:pPr>
              <w:jc w:val="center"/>
              <w:rPr>
                <w:rFonts w:cs="Calibri"/>
                <w:sz w:val="22"/>
                <w:szCs w:val="22"/>
              </w:rPr>
            </w:pPr>
            <w:r w:rsidRPr="008A0514">
              <w:rPr>
                <w:rFonts w:cs="Calibri"/>
                <w:sz w:val="22"/>
                <w:szCs w:val="22"/>
              </w:rPr>
              <w:t>All</w:t>
            </w:r>
          </w:p>
        </w:tc>
        <w:tc>
          <w:tcPr>
            <w:tcW w:w="1122" w:type="dxa"/>
            <w:tcBorders>
              <w:top w:val="nil"/>
              <w:left w:val="nil"/>
              <w:bottom w:val="nil"/>
              <w:right w:val="nil"/>
            </w:tcBorders>
            <w:shd w:val="clear" w:color="000000" w:fill="D9E1F2"/>
            <w:noWrap/>
            <w:vAlign w:val="bottom"/>
            <w:hideMark/>
          </w:tcPr>
          <w:p w14:paraId="6833E887" w14:textId="77777777" w:rsidR="00FC0920" w:rsidRPr="008A0514" w:rsidRDefault="00FC0920" w:rsidP="00FC0920">
            <w:pPr>
              <w:ind w:firstLineChars="100" w:firstLine="220"/>
              <w:jc w:val="right"/>
              <w:rPr>
                <w:rFonts w:cs="Calibri"/>
                <w:sz w:val="22"/>
                <w:szCs w:val="22"/>
              </w:rPr>
            </w:pPr>
            <w:r w:rsidRPr="008A0514">
              <w:rPr>
                <w:rFonts w:cs="Calibri"/>
                <w:sz w:val="22"/>
                <w:szCs w:val="22"/>
              </w:rPr>
              <w:t>3,743</w:t>
            </w:r>
          </w:p>
        </w:tc>
        <w:tc>
          <w:tcPr>
            <w:tcW w:w="1090" w:type="dxa"/>
            <w:tcBorders>
              <w:top w:val="nil"/>
              <w:left w:val="single" w:sz="4" w:space="0" w:color="auto"/>
              <w:bottom w:val="nil"/>
              <w:right w:val="nil"/>
            </w:tcBorders>
            <w:shd w:val="clear" w:color="000000" w:fill="D9E1F2"/>
            <w:noWrap/>
            <w:vAlign w:val="bottom"/>
            <w:hideMark/>
          </w:tcPr>
          <w:p w14:paraId="2A6C717D" w14:textId="77777777" w:rsidR="00FC0920" w:rsidRPr="008A0514" w:rsidRDefault="00FC0920" w:rsidP="00B81B67">
            <w:pPr>
              <w:ind w:firstLineChars="100" w:firstLine="220"/>
              <w:jc w:val="center"/>
              <w:rPr>
                <w:rFonts w:cs="Calibri"/>
                <w:sz w:val="22"/>
                <w:szCs w:val="22"/>
              </w:rPr>
            </w:pPr>
            <w:r w:rsidRPr="008A0514">
              <w:rPr>
                <w:rFonts w:cs="Calibri"/>
                <w:sz w:val="22"/>
                <w:szCs w:val="22"/>
              </w:rPr>
              <w:t>58.00</w:t>
            </w:r>
          </w:p>
        </w:tc>
        <w:tc>
          <w:tcPr>
            <w:tcW w:w="944" w:type="dxa"/>
            <w:tcBorders>
              <w:top w:val="nil"/>
              <w:left w:val="nil"/>
              <w:bottom w:val="nil"/>
              <w:right w:val="single" w:sz="4" w:space="0" w:color="auto"/>
            </w:tcBorders>
            <w:shd w:val="clear" w:color="000000" w:fill="D9E1F2"/>
            <w:noWrap/>
            <w:vAlign w:val="bottom"/>
            <w:hideMark/>
          </w:tcPr>
          <w:p w14:paraId="1D4A9836"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0.29</w:t>
            </w:r>
          </w:p>
        </w:tc>
        <w:tc>
          <w:tcPr>
            <w:tcW w:w="1017" w:type="dxa"/>
            <w:tcBorders>
              <w:top w:val="nil"/>
              <w:left w:val="nil"/>
              <w:bottom w:val="nil"/>
              <w:right w:val="nil"/>
            </w:tcBorders>
            <w:shd w:val="clear" w:color="000000" w:fill="D9E1F2"/>
            <w:noWrap/>
            <w:vAlign w:val="bottom"/>
            <w:hideMark/>
          </w:tcPr>
          <w:p w14:paraId="51BE1440" w14:textId="77777777" w:rsidR="00FC0920" w:rsidRPr="008A0514" w:rsidRDefault="00FC0920" w:rsidP="00B81B67">
            <w:pPr>
              <w:ind w:firstLineChars="100" w:firstLine="220"/>
              <w:jc w:val="center"/>
              <w:rPr>
                <w:rFonts w:cs="Calibri"/>
                <w:sz w:val="22"/>
                <w:szCs w:val="22"/>
              </w:rPr>
            </w:pPr>
            <w:r w:rsidRPr="008A0514">
              <w:rPr>
                <w:rFonts w:cs="Calibri"/>
                <w:sz w:val="22"/>
                <w:szCs w:val="22"/>
              </w:rPr>
              <w:t>15.50</w:t>
            </w:r>
          </w:p>
        </w:tc>
        <w:tc>
          <w:tcPr>
            <w:tcW w:w="1017" w:type="dxa"/>
            <w:tcBorders>
              <w:top w:val="nil"/>
              <w:left w:val="nil"/>
              <w:bottom w:val="nil"/>
              <w:right w:val="nil"/>
            </w:tcBorders>
            <w:shd w:val="clear" w:color="000000" w:fill="D9E1F2"/>
            <w:noWrap/>
            <w:vAlign w:val="bottom"/>
            <w:hideMark/>
          </w:tcPr>
          <w:p w14:paraId="041BC3C7"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0.08</w:t>
            </w:r>
          </w:p>
        </w:tc>
        <w:tc>
          <w:tcPr>
            <w:tcW w:w="1155" w:type="dxa"/>
            <w:tcBorders>
              <w:top w:val="nil"/>
              <w:left w:val="single" w:sz="4" w:space="0" w:color="auto"/>
              <w:bottom w:val="nil"/>
              <w:right w:val="single" w:sz="4" w:space="0" w:color="auto"/>
            </w:tcBorders>
            <w:shd w:val="clear" w:color="000000" w:fill="D9E1F2"/>
            <w:noWrap/>
            <w:vAlign w:val="bottom"/>
            <w:hideMark/>
          </w:tcPr>
          <w:p w14:paraId="38326BAE" w14:textId="77777777" w:rsidR="00FC0920" w:rsidRPr="008A0514" w:rsidRDefault="00FC0920" w:rsidP="00FC0920">
            <w:pPr>
              <w:jc w:val="center"/>
              <w:rPr>
                <w:rFonts w:cs="Calibri"/>
                <w:sz w:val="22"/>
                <w:szCs w:val="22"/>
              </w:rPr>
            </w:pPr>
            <w:r w:rsidRPr="008A0514">
              <w:rPr>
                <w:rFonts w:cs="Calibri"/>
                <w:sz w:val="22"/>
                <w:szCs w:val="22"/>
              </w:rPr>
              <w:t>0.5%</w:t>
            </w:r>
          </w:p>
        </w:tc>
        <w:tc>
          <w:tcPr>
            <w:tcW w:w="878" w:type="dxa"/>
            <w:tcBorders>
              <w:top w:val="nil"/>
              <w:left w:val="nil"/>
              <w:bottom w:val="nil"/>
              <w:right w:val="single" w:sz="4" w:space="0" w:color="auto"/>
            </w:tcBorders>
            <w:shd w:val="clear" w:color="000000" w:fill="D9E1F2"/>
            <w:noWrap/>
            <w:vAlign w:val="bottom"/>
            <w:hideMark/>
          </w:tcPr>
          <w:p w14:paraId="0159C982" w14:textId="77777777" w:rsidR="00FC0920" w:rsidRPr="008A0514" w:rsidRDefault="00FC0920" w:rsidP="00FC0920">
            <w:pPr>
              <w:jc w:val="center"/>
              <w:rPr>
                <w:rFonts w:cs="Calibri"/>
                <w:sz w:val="22"/>
                <w:szCs w:val="22"/>
              </w:rPr>
            </w:pPr>
            <w:r w:rsidRPr="008A0514">
              <w:rPr>
                <w:rFonts w:cs="Calibri"/>
                <w:sz w:val="22"/>
                <w:szCs w:val="22"/>
              </w:rPr>
              <w:t>60</w:t>
            </w:r>
          </w:p>
        </w:tc>
      </w:tr>
      <w:tr w:rsidR="00FC0920" w:rsidRPr="008A0514" w14:paraId="38B54E1B" w14:textId="77777777" w:rsidTr="00FC0920">
        <w:trPr>
          <w:trHeight w:val="20"/>
          <w:jc w:val="center"/>
        </w:trPr>
        <w:tc>
          <w:tcPr>
            <w:tcW w:w="1164" w:type="dxa"/>
            <w:tcBorders>
              <w:top w:val="nil"/>
              <w:left w:val="single" w:sz="4" w:space="0" w:color="auto"/>
              <w:bottom w:val="single" w:sz="4" w:space="0" w:color="auto"/>
              <w:right w:val="nil"/>
            </w:tcBorders>
            <w:shd w:val="clear" w:color="000000" w:fill="D9E1F2"/>
            <w:noWrap/>
            <w:vAlign w:val="bottom"/>
            <w:hideMark/>
          </w:tcPr>
          <w:p w14:paraId="0A544BCE" w14:textId="48D9C036" w:rsidR="00FC0920" w:rsidRPr="008A0514" w:rsidRDefault="00FC0920" w:rsidP="00FC0920">
            <w:pPr>
              <w:ind w:firstLineChars="100" w:firstLine="220"/>
              <w:jc w:val="right"/>
              <w:rPr>
                <w:rFonts w:cs="Calibri"/>
                <w:sz w:val="22"/>
                <w:szCs w:val="22"/>
              </w:rPr>
            </w:pPr>
            <w:r>
              <w:rPr>
                <w:rFonts w:cs="Calibri"/>
                <w:sz w:val="22"/>
                <w:szCs w:val="22"/>
              </w:rPr>
              <w:t>Apr-17</w:t>
            </w:r>
          </w:p>
        </w:tc>
        <w:tc>
          <w:tcPr>
            <w:tcW w:w="970" w:type="dxa"/>
            <w:tcBorders>
              <w:top w:val="nil"/>
              <w:left w:val="single" w:sz="4" w:space="0" w:color="auto"/>
              <w:bottom w:val="single" w:sz="4" w:space="0" w:color="auto"/>
              <w:right w:val="single" w:sz="4" w:space="0" w:color="auto"/>
            </w:tcBorders>
            <w:shd w:val="clear" w:color="000000" w:fill="D9E1F2"/>
            <w:noWrap/>
            <w:vAlign w:val="bottom"/>
            <w:hideMark/>
          </w:tcPr>
          <w:p w14:paraId="5EECC493" w14:textId="77777777" w:rsidR="00FC0920" w:rsidRPr="008A0514" w:rsidRDefault="00FC0920" w:rsidP="00FC0920">
            <w:pPr>
              <w:jc w:val="center"/>
              <w:rPr>
                <w:rFonts w:cs="Calibri"/>
                <w:sz w:val="22"/>
                <w:szCs w:val="22"/>
              </w:rPr>
            </w:pPr>
            <w:r w:rsidRPr="008A0514">
              <w:rPr>
                <w:rFonts w:cs="Calibri"/>
                <w:sz w:val="22"/>
                <w:szCs w:val="22"/>
              </w:rPr>
              <w:t>All</w:t>
            </w:r>
          </w:p>
        </w:tc>
        <w:tc>
          <w:tcPr>
            <w:tcW w:w="1122" w:type="dxa"/>
            <w:tcBorders>
              <w:top w:val="nil"/>
              <w:left w:val="nil"/>
              <w:bottom w:val="single" w:sz="4" w:space="0" w:color="auto"/>
              <w:right w:val="nil"/>
            </w:tcBorders>
            <w:shd w:val="clear" w:color="000000" w:fill="D9E1F2"/>
            <w:noWrap/>
            <w:vAlign w:val="bottom"/>
            <w:hideMark/>
          </w:tcPr>
          <w:p w14:paraId="3C3E11B8" w14:textId="77777777" w:rsidR="00FC0920" w:rsidRPr="008A0514" w:rsidRDefault="00FC0920" w:rsidP="00FC0920">
            <w:pPr>
              <w:ind w:firstLineChars="100" w:firstLine="220"/>
              <w:jc w:val="right"/>
              <w:rPr>
                <w:rFonts w:cs="Calibri"/>
                <w:sz w:val="22"/>
                <w:szCs w:val="22"/>
              </w:rPr>
            </w:pPr>
            <w:r w:rsidRPr="008A0514">
              <w:rPr>
                <w:rFonts w:cs="Calibri"/>
                <w:sz w:val="22"/>
                <w:szCs w:val="22"/>
              </w:rPr>
              <w:t>3,938</w:t>
            </w:r>
          </w:p>
        </w:tc>
        <w:tc>
          <w:tcPr>
            <w:tcW w:w="1090" w:type="dxa"/>
            <w:tcBorders>
              <w:top w:val="nil"/>
              <w:left w:val="single" w:sz="4" w:space="0" w:color="auto"/>
              <w:bottom w:val="single" w:sz="4" w:space="0" w:color="auto"/>
              <w:right w:val="nil"/>
            </w:tcBorders>
            <w:shd w:val="clear" w:color="000000" w:fill="D9E1F2"/>
            <w:noWrap/>
            <w:vAlign w:val="bottom"/>
            <w:hideMark/>
          </w:tcPr>
          <w:p w14:paraId="343AA346" w14:textId="77777777" w:rsidR="00FC0920" w:rsidRPr="008A0514" w:rsidRDefault="00FC0920" w:rsidP="00B81B67">
            <w:pPr>
              <w:ind w:firstLineChars="100" w:firstLine="220"/>
              <w:jc w:val="center"/>
              <w:rPr>
                <w:rFonts w:cs="Calibri"/>
                <w:sz w:val="22"/>
                <w:szCs w:val="22"/>
              </w:rPr>
            </w:pPr>
            <w:r w:rsidRPr="008A0514">
              <w:rPr>
                <w:rFonts w:cs="Calibri"/>
                <w:sz w:val="22"/>
                <w:szCs w:val="22"/>
              </w:rPr>
              <w:t>58.91</w:t>
            </w:r>
          </w:p>
        </w:tc>
        <w:tc>
          <w:tcPr>
            <w:tcW w:w="944" w:type="dxa"/>
            <w:tcBorders>
              <w:top w:val="nil"/>
              <w:left w:val="nil"/>
              <w:bottom w:val="single" w:sz="4" w:space="0" w:color="auto"/>
              <w:right w:val="single" w:sz="4" w:space="0" w:color="auto"/>
            </w:tcBorders>
            <w:shd w:val="clear" w:color="000000" w:fill="D9E1F2"/>
            <w:noWrap/>
            <w:vAlign w:val="bottom"/>
            <w:hideMark/>
          </w:tcPr>
          <w:p w14:paraId="48968FB1"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0.01</w:t>
            </w:r>
          </w:p>
        </w:tc>
        <w:tc>
          <w:tcPr>
            <w:tcW w:w="1017" w:type="dxa"/>
            <w:tcBorders>
              <w:top w:val="nil"/>
              <w:left w:val="nil"/>
              <w:bottom w:val="single" w:sz="4" w:space="0" w:color="auto"/>
              <w:right w:val="nil"/>
            </w:tcBorders>
            <w:shd w:val="clear" w:color="000000" w:fill="D9E1F2"/>
            <w:noWrap/>
            <w:vAlign w:val="bottom"/>
            <w:hideMark/>
          </w:tcPr>
          <w:p w14:paraId="53135C48" w14:textId="77777777" w:rsidR="00FC0920" w:rsidRPr="008A0514" w:rsidRDefault="00FC0920" w:rsidP="00B81B67">
            <w:pPr>
              <w:ind w:firstLineChars="100" w:firstLine="220"/>
              <w:jc w:val="center"/>
              <w:rPr>
                <w:rFonts w:cs="Calibri"/>
                <w:sz w:val="22"/>
                <w:szCs w:val="22"/>
              </w:rPr>
            </w:pPr>
            <w:r w:rsidRPr="008A0514">
              <w:rPr>
                <w:rFonts w:cs="Calibri"/>
                <w:sz w:val="22"/>
                <w:szCs w:val="22"/>
              </w:rPr>
              <w:t>14.96</w:t>
            </w:r>
          </w:p>
        </w:tc>
        <w:tc>
          <w:tcPr>
            <w:tcW w:w="1017" w:type="dxa"/>
            <w:tcBorders>
              <w:top w:val="nil"/>
              <w:left w:val="nil"/>
              <w:bottom w:val="single" w:sz="4" w:space="0" w:color="auto"/>
              <w:right w:val="nil"/>
            </w:tcBorders>
            <w:shd w:val="clear" w:color="000000" w:fill="D9E1F2"/>
            <w:noWrap/>
            <w:vAlign w:val="bottom"/>
            <w:hideMark/>
          </w:tcPr>
          <w:p w14:paraId="28C80DF9"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0.00</w:t>
            </w:r>
          </w:p>
        </w:tc>
        <w:tc>
          <w:tcPr>
            <w:tcW w:w="1155" w:type="dxa"/>
            <w:tcBorders>
              <w:top w:val="nil"/>
              <w:left w:val="single" w:sz="4" w:space="0" w:color="auto"/>
              <w:bottom w:val="single" w:sz="4" w:space="0" w:color="auto"/>
              <w:right w:val="single" w:sz="4" w:space="0" w:color="auto"/>
            </w:tcBorders>
            <w:shd w:val="clear" w:color="000000" w:fill="D9E1F2"/>
            <w:noWrap/>
            <w:vAlign w:val="bottom"/>
            <w:hideMark/>
          </w:tcPr>
          <w:p w14:paraId="1DCCDECE" w14:textId="77777777" w:rsidR="00FC0920" w:rsidRPr="008A0514" w:rsidRDefault="00FC0920" w:rsidP="00FC0920">
            <w:pPr>
              <w:jc w:val="center"/>
              <w:rPr>
                <w:rFonts w:cs="Calibri"/>
                <w:sz w:val="22"/>
                <w:szCs w:val="22"/>
              </w:rPr>
            </w:pPr>
            <w:r w:rsidRPr="008A0514">
              <w:rPr>
                <w:rFonts w:cs="Calibri"/>
                <w:sz w:val="22"/>
                <w:szCs w:val="22"/>
              </w:rPr>
              <w:t>0.0%</w:t>
            </w:r>
          </w:p>
        </w:tc>
        <w:tc>
          <w:tcPr>
            <w:tcW w:w="878" w:type="dxa"/>
            <w:tcBorders>
              <w:top w:val="nil"/>
              <w:left w:val="nil"/>
              <w:bottom w:val="single" w:sz="4" w:space="0" w:color="auto"/>
              <w:right w:val="single" w:sz="4" w:space="0" w:color="auto"/>
            </w:tcBorders>
            <w:shd w:val="clear" w:color="000000" w:fill="D9E1F2"/>
            <w:noWrap/>
            <w:vAlign w:val="bottom"/>
            <w:hideMark/>
          </w:tcPr>
          <w:p w14:paraId="578C340A" w14:textId="77777777" w:rsidR="00FC0920" w:rsidRPr="008A0514" w:rsidRDefault="00FC0920" w:rsidP="00FC0920">
            <w:pPr>
              <w:jc w:val="center"/>
              <w:rPr>
                <w:rFonts w:cs="Calibri"/>
                <w:sz w:val="22"/>
                <w:szCs w:val="22"/>
              </w:rPr>
            </w:pPr>
            <w:r w:rsidRPr="008A0514">
              <w:rPr>
                <w:rFonts w:cs="Calibri"/>
                <w:sz w:val="22"/>
                <w:szCs w:val="22"/>
              </w:rPr>
              <w:t>63</w:t>
            </w:r>
          </w:p>
        </w:tc>
      </w:tr>
      <w:tr w:rsidR="00FC0920" w:rsidRPr="008A0514" w14:paraId="25B28BD5" w14:textId="77777777" w:rsidTr="00FC0920">
        <w:trPr>
          <w:trHeight w:val="20"/>
          <w:jc w:val="center"/>
        </w:trPr>
        <w:tc>
          <w:tcPr>
            <w:tcW w:w="1164" w:type="dxa"/>
            <w:tcBorders>
              <w:top w:val="nil"/>
              <w:left w:val="single" w:sz="4" w:space="0" w:color="auto"/>
              <w:bottom w:val="nil"/>
              <w:right w:val="nil"/>
            </w:tcBorders>
            <w:shd w:val="clear" w:color="auto" w:fill="auto"/>
            <w:noWrap/>
            <w:vAlign w:val="bottom"/>
            <w:hideMark/>
          </w:tcPr>
          <w:p w14:paraId="1E823FEC" w14:textId="45D848EA" w:rsidR="00FC0920" w:rsidRPr="008A0514" w:rsidRDefault="00FC0920" w:rsidP="00FC0920">
            <w:pPr>
              <w:ind w:firstLineChars="100" w:firstLine="220"/>
              <w:jc w:val="right"/>
              <w:rPr>
                <w:rFonts w:cs="Calibri"/>
                <w:sz w:val="22"/>
                <w:szCs w:val="22"/>
              </w:rPr>
            </w:pPr>
            <w:r>
              <w:rPr>
                <w:rFonts w:cs="Calibri"/>
                <w:sz w:val="22"/>
                <w:szCs w:val="22"/>
              </w:rPr>
              <w:t>May-17</w:t>
            </w:r>
          </w:p>
        </w:tc>
        <w:tc>
          <w:tcPr>
            <w:tcW w:w="970" w:type="dxa"/>
            <w:tcBorders>
              <w:top w:val="nil"/>
              <w:left w:val="single" w:sz="4" w:space="0" w:color="auto"/>
              <w:bottom w:val="nil"/>
              <w:right w:val="single" w:sz="4" w:space="0" w:color="auto"/>
            </w:tcBorders>
            <w:shd w:val="clear" w:color="auto" w:fill="auto"/>
            <w:noWrap/>
            <w:vAlign w:val="bottom"/>
            <w:hideMark/>
          </w:tcPr>
          <w:p w14:paraId="05DAF99C" w14:textId="77777777" w:rsidR="00FC0920" w:rsidRPr="008A0514" w:rsidRDefault="00FC0920" w:rsidP="00FC0920">
            <w:pPr>
              <w:jc w:val="center"/>
              <w:rPr>
                <w:rFonts w:cs="Calibri"/>
                <w:sz w:val="22"/>
                <w:szCs w:val="22"/>
              </w:rPr>
            </w:pPr>
            <w:r w:rsidRPr="008A0514">
              <w:rPr>
                <w:rFonts w:cs="Calibri"/>
                <w:sz w:val="22"/>
                <w:szCs w:val="22"/>
              </w:rPr>
              <w:t>All</w:t>
            </w:r>
          </w:p>
        </w:tc>
        <w:tc>
          <w:tcPr>
            <w:tcW w:w="1122" w:type="dxa"/>
            <w:tcBorders>
              <w:top w:val="nil"/>
              <w:left w:val="nil"/>
              <w:bottom w:val="nil"/>
              <w:right w:val="nil"/>
            </w:tcBorders>
            <w:shd w:val="clear" w:color="auto" w:fill="auto"/>
            <w:noWrap/>
            <w:vAlign w:val="bottom"/>
            <w:hideMark/>
          </w:tcPr>
          <w:p w14:paraId="3CA683FA" w14:textId="77777777" w:rsidR="00FC0920" w:rsidRPr="008A0514" w:rsidRDefault="00FC0920" w:rsidP="00FC0920">
            <w:pPr>
              <w:ind w:firstLineChars="100" w:firstLine="220"/>
              <w:jc w:val="right"/>
              <w:rPr>
                <w:rFonts w:cs="Calibri"/>
                <w:sz w:val="22"/>
                <w:szCs w:val="22"/>
              </w:rPr>
            </w:pPr>
            <w:r w:rsidRPr="008A0514">
              <w:rPr>
                <w:rFonts w:cs="Calibri"/>
                <w:sz w:val="22"/>
                <w:szCs w:val="22"/>
              </w:rPr>
              <w:t>4,091</w:t>
            </w:r>
          </w:p>
        </w:tc>
        <w:tc>
          <w:tcPr>
            <w:tcW w:w="1090" w:type="dxa"/>
            <w:tcBorders>
              <w:top w:val="nil"/>
              <w:left w:val="single" w:sz="4" w:space="0" w:color="auto"/>
              <w:bottom w:val="nil"/>
              <w:right w:val="nil"/>
            </w:tcBorders>
            <w:shd w:val="clear" w:color="auto" w:fill="auto"/>
            <w:noWrap/>
            <w:vAlign w:val="bottom"/>
            <w:hideMark/>
          </w:tcPr>
          <w:p w14:paraId="5B21F166" w14:textId="77777777" w:rsidR="00FC0920" w:rsidRPr="008A0514" w:rsidRDefault="00FC0920" w:rsidP="00B81B67">
            <w:pPr>
              <w:ind w:firstLineChars="100" w:firstLine="220"/>
              <w:jc w:val="center"/>
              <w:rPr>
                <w:rFonts w:cs="Calibri"/>
                <w:sz w:val="22"/>
                <w:szCs w:val="22"/>
              </w:rPr>
            </w:pPr>
            <w:r w:rsidRPr="008A0514">
              <w:rPr>
                <w:rFonts w:cs="Calibri"/>
                <w:sz w:val="22"/>
                <w:szCs w:val="22"/>
              </w:rPr>
              <w:t>64.20</w:t>
            </w:r>
          </w:p>
        </w:tc>
        <w:tc>
          <w:tcPr>
            <w:tcW w:w="944" w:type="dxa"/>
            <w:tcBorders>
              <w:top w:val="nil"/>
              <w:left w:val="nil"/>
              <w:bottom w:val="nil"/>
              <w:right w:val="single" w:sz="4" w:space="0" w:color="auto"/>
            </w:tcBorders>
            <w:shd w:val="clear" w:color="auto" w:fill="auto"/>
            <w:noWrap/>
            <w:vAlign w:val="bottom"/>
            <w:hideMark/>
          </w:tcPr>
          <w:p w14:paraId="4036BF41" w14:textId="77777777" w:rsidR="00FC0920" w:rsidRPr="008A0514" w:rsidRDefault="00FC0920" w:rsidP="00B81B67">
            <w:pPr>
              <w:ind w:firstLineChars="100" w:firstLine="220"/>
              <w:jc w:val="center"/>
              <w:rPr>
                <w:rFonts w:cs="Calibri"/>
                <w:sz w:val="22"/>
                <w:szCs w:val="22"/>
              </w:rPr>
            </w:pPr>
            <w:r w:rsidRPr="008A0514">
              <w:rPr>
                <w:rFonts w:cs="Calibri"/>
                <w:sz w:val="22"/>
                <w:szCs w:val="22"/>
              </w:rPr>
              <w:t>1.93</w:t>
            </w:r>
          </w:p>
        </w:tc>
        <w:tc>
          <w:tcPr>
            <w:tcW w:w="1017" w:type="dxa"/>
            <w:tcBorders>
              <w:top w:val="nil"/>
              <w:left w:val="nil"/>
              <w:bottom w:val="nil"/>
              <w:right w:val="nil"/>
            </w:tcBorders>
            <w:shd w:val="clear" w:color="auto" w:fill="auto"/>
            <w:noWrap/>
            <w:vAlign w:val="bottom"/>
            <w:hideMark/>
          </w:tcPr>
          <w:p w14:paraId="0F53FB5B" w14:textId="77777777" w:rsidR="00FC0920" w:rsidRPr="008A0514" w:rsidRDefault="00FC0920" w:rsidP="00B81B67">
            <w:pPr>
              <w:ind w:firstLineChars="100" w:firstLine="220"/>
              <w:jc w:val="center"/>
              <w:rPr>
                <w:rFonts w:cs="Calibri"/>
                <w:sz w:val="22"/>
                <w:szCs w:val="22"/>
              </w:rPr>
            </w:pPr>
            <w:r w:rsidRPr="008A0514">
              <w:rPr>
                <w:rFonts w:cs="Calibri"/>
                <w:sz w:val="22"/>
                <w:szCs w:val="22"/>
              </w:rPr>
              <w:t>15.69</w:t>
            </w:r>
          </w:p>
        </w:tc>
        <w:tc>
          <w:tcPr>
            <w:tcW w:w="1017" w:type="dxa"/>
            <w:tcBorders>
              <w:top w:val="nil"/>
              <w:left w:val="nil"/>
              <w:bottom w:val="nil"/>
              <w:right w:val="nil"/>
            </w:tcBorders>
            <w:shd w:val="clear" w:color="auto" w:fill="auto"/>
            <w:noWrap/>
            <w:vAlign w:val="bottom"/>
            <w:hideMark/>
          </w:tcPr>
          <w:p w14:paraId="23DE8443"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0.47</w:t>
            </w:r>
          </w:p>
        </w:tc>
        <w:tc>
          <w:tcPr>
            <w:tcW w:w="1155" w:type="dxa"/>
            <w:tcBorders>
              <w:top w:val="nil"/>
              <w:left w:val="single" w:sz="4" w:space="0" w:color="auto"/>
              <w:bottom w:val="nil"/>
              <w:right w:val="single" w:sz="4" w:space="0" w:color="auto"/>
            </w:tcBorders>
            <w:shd w:val="clear" w:color="auto" w:fill="auto"/>
            <w:noWrap/>
            <w:vAlign w:val="bottom"/>
            <w:hideMark/>
          </w:tcPr>
          <w:p w14:paraId="2A84CCA4" w14:textId="77777777" w:rsidR="00FC0920" w:rsidRPr="008A0514" w:rsidRDefault="00FC0920" w:rsidP="00FC0920">
            <w:pPr>
              <w:jc w:val="center"/>
              <w:rPr>
                <w:rFonts w:cs="Calibri"/>
                <w:sz w:val="22"/>
                <w:szCs w:val="22"/>
              </w:rPr>
            </w:pPr>
            <w:r w:rsidRPr="008A0514">
              <w:rPr>
                <w:rFonts w:cs="Calibri"/>
                <w:sz w:val="22"/>
                <w:szCs w:val="22"/>
              </w:rPr>
              <w:t>3.0%</w:t>
            </w:r>
          </w:p>
        </w:tc>
        <w:tc>
          <w:tcPr>
            <w:tcW w:w="878" w:type="dxa"/>
            <w:tcBorders>
              <w:top w:val="nil"/>
              <w:left w:val="nil"/>
              <w:bottom w:val="nil"/>
              <w:right w:val="single" w:sz="4" w:space="0" w:color="auto"/>
            </w:tcBorders>
            <w:shd w:val="clear" w:color="auto" w:fill="auto"/>
            <w:noWrap/>
            <w:vAlign w:val="bottom"/>
            <w:hideMark/>
          </w:tcPr>
          <w:p w14:paraId="43AB824D" w14:textId="77777777" w:rsidR="00FC0920" w:rsidRPr="008A0514" w:rsidRDefault="00FC0920" w:rsidP="00FC0920">
            <w:pPr>
              <w:jc w:val="center"/>
              <w:rPr>
                <w:rFonts w:cs="Calibri"/>
                <w:sz w:val="22"/>
                <w:szCs w:val="22"/>
              </w:rPr>
            </w:pPr>
            <w:r w:rsidRPr="008A0514">
              <w:rPr>
                <w:rFonts w:cs="Calibri"/>
                <w:sz w:val="22"/>
                <w:szCs w:val="22"/>
              </w:rPr>
              <w:t>63</w:t>
            </w:r>
          </w:p>
        </w:tc>
      </w:tr>
      <w:tr w:rsidR="00FC0920" w:rsidRPr="008A0514" w14:paraId="020F03AE" w14:textId="77777777" w:rsidTr="00FC0920">
        <w:trPr>
          <w:trHeight w:val="20"/>
          <w:jc w:val="center"/>
        </w:trPr>
        <w:tc>
          <w:tcPr>
            <w:tcW w:w="1164" w:type="dxa"/>
            <w:tcBorders>
              <w:top w:val="nil"/>
              <w:left w:val="single" w:sz="4" w:space="0" w:color="auto"/>
              <w:bottom w:val="nil"/>
              <w:right w:val="nil"/>
            </w:tcBorders>
            <w:shd w:val="clear" w:color="auto" w:fill="auto"/>
            <w:noWrap/>
            <w:vAlign w:val="bottom"/>
            <w:hideMark/>
          </w:tcPr>
          <w:p w14:paraId="4DAB2546" w14:textId="536F6A55" w:rsidR="00FC0920" w:rsidRPr="008A0514" w:rsidRDefault="00FC0920" w:rsidP="00FC0920">
            <w:pPr>
              <w:ind w:firstLineChars="100" w:firstLine="220"/>
              <w:jc w:val="right"/>
              <w:rPr>
                <w:rFonts w:cs="Calibri"/>
                <w:sz w:val="22"/>
                <w:szCs w:val="22"/>
              </w:rPr>
            </w:pPr>
            <w:r>
              <w:rPr>
                <w:rFonts w:cs="Calibri"/>
                <w:sz w:val="22"/>
                <w:szCs w:val="22"/>
              </w:rPr>
              <w:t>Jun-17</w:t>
            </w:r>
          </w:p>
        </w:tc>
        <w:tc>
          <w:tcPr>
            <w:tcW w:w="970" w:type="dxa"/>
            <w:tcBorders>
              <w:top w:val="nil"/>
              <w:left w:val="single" w:sz="4" w:space="0" w:color="auto"/>
              <w:bottom w:val="nil"/>
              <w:right w:val="single" w:sz="4" w:space="0" w:color="auto"/>
            </w:tcBorders>
            <w:shd w:val="clear" w:color="auto" w:fill="auto"/>
            <w:noWrap/>
            <w:vAlign w:val="bottom"/>
            <w:hideMark/>
          </w:tcPr>
          <w:p w14:paraId="39C1BF6E" w14:textId="77777777" w:rsidR="00FC0920" w:rsidRPr="008A0514" w:rsidRDefault="00FC0920" w:rsidP="00FC0920">
            <w:pPr>
              <w:jc w:val="center"/>
              <w:rPr>
                <w:rFonts w:cs="Calibri"/>
                <w:sz w:val="22"/>
                <w:szCs w:val="22"/>
              </w:rPr>
            </w:pPr>
            <w:r w:rsidRPr="008A0514">
              <w:rPr>
                <w:rFonts w:cs="Calibri"/>
                <w:sz w:val="22"/>
                <w:szCs w:val="22"/>
              </w:rPr>
              <w:t>All</w:t>
            </w:r>
          </w:p>
        </w:tc>
        <w:tc>
          <w:tcPr>
            <w:tcW w:w="1122" w:type="dxa"/>
            <w:tcBorders>
              <w:top w:val="nil"/>
              <w:left w:val="nil"/>
              <w:bottom w:val="nil"/>
              <w:right w:val="nil"/>
            </w:tcBorders>
            <w:shd w:val="clear" w:color="auto" w:fill="auto"/>
            <w:noWrap/>
            <w:vAlign w:val="bottom"/>
            <w:hideMark/>
          </w:tcPr>
          <w:p w14:paraId="58D99FFF" w14:textId="77777777" w:rsidR="00FC0920" w:rsidRPr="008A0514" w:rsidRDefault="00FC0920" w:rsidP="00FC0920">
            <w:pPr>
              <w:ind w:firstLineChars="100" w:firstLine="220"/>
              <w:jc w:val="right"/>
              <w:rPr>
                <w:rFonts w:cs="Calibri"/>
                <w:sz w:val="22"/>
                <w:szCs w:val="22"/>
              </w:rPr>
            </w:pPr>
            <w:r w:rsidRPr="008A0514">
              <w:rPr>
                <w:rFonts w:cs="Calibri"/>
                <w:sz w:val="22"/>
                <w:szCs w:val="22"/>
              </w:rPr>
              <w:t>4,323</w:t>
            </w:r>
          </w:p>
        </w:tc>
        <w:tc>
          <w:tcPr>
            <w:tcW w:w="1090" w:type="dxa"/>
            <w:tcBorders>
              <w:top w:val="nil"/>
              <w:left w:val="single" w:sz="4" w:space="0" w:color="auto"/>
              <w:bottom w:val="nil"/>
              <w:right w:val="nil"/>
            </w:tcBorders>
            <w:shd w:val="clear" w:color="auto" w:fill="auto"/>
            <w:noWrap/>
            <w:vAlign w:val="bottom"/>
            <w:hideMark/>
          </w:tcPr>
          <w:p w14:paraId="2FDBECF4" w14:textId="77777777" w:rsidR="00FC0920" w:rsidRPr="008A0514" w:rsidRDefault="00FC0920" w:rsidP="00B81B67">
            <w:pPr>
              <w:ind w:firstLineChars="100" w:firstLine="220"/>
              <w:jc w:val="center"/>
              <w:rPr>
                <w:rFonts w:cs="Calibri"/>
                <w:sz w:val="22"/>
                <w:szCs w:val="22"/>
              </w:rPr>
            </w:pPr>
            <w:r w:rsidRPr="008A0514">
              <w:rPr>
                <w:rFonts w:cs="Calibri"/>
                <w:sz w:val="22"/>
                <w:szCs w:val="22"/>
              </w:rPr>
              <w:t>76.79</w:t>
            </w:r>
          </w:p>
        </w:tc>
        <w:tc>
          <w:tcPr>
            <w:tcW w:w="944" w:type="dxa"/>
            <w:tcBorders>
              <w:top w:val="nil"/>
              <w:left w:val="nil"/>
              <w:bottom w:val="nil"/>
              <w:right w:val="single" w:sz="4" w:space="0" w:color="auto"/>
            </w:tcBorders>
            <w:shd w:val="clear" w:color="auto" w:fill="auto"/>
            <w:noWrap/>
            <w:vAlign w:val="bottom"/>
            <w:hideMark/>
          </w:tcPr>
          <w:p w14:paraId="231E1506" w14:textId="77777777" w:rsidR="00FC0920" w:rsidRPr="008A0514" w:rsidRDefault="00FC0920" w:rsidP="00B81B67">
            <w:pPr>
              <w:ind w:firstLineChars="100" w:firstLine="220"/>
              <w:jc w:val="center"/>
              <w:rPr>
                <w:rFonts w:cs="Calibri"/>
                <w:sz w:val="22"/>
                <w:szCs w:val="22"/>
              </w:rPr>
            </w:pPr>
            <w:r w:rsidRPr="008A0514">
              <w:rPr>
                <w:rFonts w:cs="Calibri"/>
                <w:sz w:val="22"/>
                <w:szCs w:val="22"/>
              </w:rPr>
              <w:t>2.10</w:t>
            </w:r>
          </w:p>
        </w:tc>
        <w:tc>
          <w:tcPr>
            <w:tcW w:w="1017" w:type="dxa"/>
            <w:tcBorders>
              <w:top w:val="nil"/>
              <w:left w:val="nil"/>
              <w:bottom w:val="nil"/>
              <w:right w:val="nil"/>
            </w:tcBorders>
            <w:shd w:val="clear" w:color="auto" w:fill="auto"/>
            <w:noWrap/>
            <w:vAlign w:val="bottom"/>
            <w:hideMark/>
          </w:tcPr>
          <w:p w14:paraId="54194C7D" w14:textId="77777777" w:rsidR="00FC0920" w:rsidRPr="008A0514" w:rsidRDefault="00FC0920" w:rsidP="00B81B67">
            <w:pPr>
              <w:ind w:firstLineChars="100" w:firstLine="220"/>
              <w:jc w:val="center"/>
              <w:rPr>
                <w:rFonts w:cs="Calibri"/>
                <w:sz w:val="22"/>
                <w:szCs w:val="22"/>
              </w:rPr>
            </w:pPr>
            <w:r w:rsidRPr="008A0514">
              <w:rPr>
                <w:rFonts w:cs="Calibri"/>
                <w:sz w:val="22"/>
                <w:szCs w:val="22"/>
              </w:rPr>
              <w:t>17.76</w:t>
            </w:r>
          </w:p>
        </w:tc>
        <w:tc>
          <w:tcPr>
            <w:tcW w:w="1017" w:type="dxa"/>
            <w:tcBorders>
              <w:top w:val="nil"/>
              <w:left w:val="nil"/>
              <w:bottom w:val="nil"/>
              <w:right w:val="nil"/>
            </w:tcBorders>
            <w:shd w:val="clear" w:color="auto" w:fill="auto"/>
            <w:noWrap/>
            <w:vAlign w:val="bottom"/>
            <w:hideMark/>
          </w:tcPr>
          <w:p w14:paraId="699831EC"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0.49</w:t>
            </w:r>
          </w:p>
        </w:tc>
        <w:tc>
          <w:tcPr>
            <w:tcW w:w="1155" w:type="dxa"/>
            <w:tcBorders>
              <w:top w:val="nil"/>
              <w:left w:val="single" w:sz="4" w:space="0" w:color="auto"/>
              <w:bottom w:val="nil"/>
              <w:right w:val="single" w:sz="4" w:space="0" w:color="auto"/>
            </w:tcBorders>
            <w:shd w:val="clear" w:color="auto" w:fill="auto"/>
            <w:noWrap/>
            <w:vAlign w:val="bottom"/>
            <w:hideMark/>
          </w:tcPr>
          <w:p w14:paraId="0EC014C3" w14:textId="77777777" w:rsidR="00FC0920" w:rsidRPr="008A0514" w:rsidRDefault="00FC0920" w:rsidP="00FC0920">
            <w:pPr>
              <w:jc w:val="center"/>
              <w:rPr>
                <w:rFonts w:cs="Calibri"/>
                <w:sz w:val="22"/>
                <w:szCs w:val="22"/>
              </w:rPr>
            </w:pPr>
            <w:r w:rsidRPr="008A0514">
              <w:rPr>
                <w:rFonts w:cs="Calibri"/>
                <w:sz w:val="22"/>
                <w:szCs w:val="22"/>
              </w:rPr>
              <w:t>2.7%</w:t>
            </w:r>
          </w:p>
        </w:tc>
        <w:tc>
          <w:tcPr>
            <w:tcW w:w="878" w:type="dxa"/>
            <w:tcBorders>
              <w:top w:val="nil"/>
              <w:left w:val="nil"/>
              <w:bottom w:val="nil"/>
              <w:right w:val="single" w:sz="4" w:space="0" w:color="auto"/>
            </w:tcBorders>
            <w:shd w:val="clear" w:color="auto" w:fill="auto"/>
            <w:noWrap/>
            <w:vAlign w:val="bottom"/>
            <w:hideMark/>
          </w:tcPr>
          <w:p w14:paraId="79E93123" w14:textId="77777777" w:rsidR="00FC0920" w:rsidRPr="008A0514" w:rsidRDefault="00FC0920" w:rsidP="00FC0920">
            <w:pPr>
              <w:jc w:val="center"/>
              <w:rPr>
                <w:rFonts w:cs="Calibri"/>
                <w:sz w:val="22"/>
                <w:szCs w:val="22"/>
              </w:rPr>
            </w:pPr>
            <w:r w:rsidRPr="008A0514">
              <w:rPr>
                <w:rFonts w:cs="Calibri"/>
                <w:sz w:val="22"/>
                <w:szCs w:val="22"/>
              </w:rPr>
              <w:t>68</w:t>
            </w:r>
          </w:p>
        </w:tc>
      </w:tr>
      <w:tr w:rsidR="00FC0920" w:rsidRPr="008A0514" w14:paraId="25A56F53" w14:textId="77777777" w:rsidTr="00FC0920">
        <w:trPr>
          <w:trHeight w:val="20"/>
          <w:jc w:val="center"/>
        </w:trPr>
        <w:tc>
          <w:tcPr>
            <w:tcW w:w="1164" w:type="dxa"/>
            <w:tcBorders>
              <w:top w:val="nil"/>
              <w:left w:val="single" w:sz="4" w:space="0" w:color="auto"/>
              <w:bottom w:val="nil"/>
              <w:right w:val="nil"/>
            </w:tcBorders>
            <w:shd w:val="clear" w:color="auto" w:fill="auto"/>
            <w:noWrap/>
            <w:vAlign w:val="bottom"/>
            <w:hideMark/>
          </w:tcPr>
          <w:p w14:paraId="150CD659" w14:textId="1A54526E" w:rsidR="00FC0920" w:rsidRPr="008A0514" w:rsidRDefault="00FC0920" w:rsidP="00FC0920">
            <w:pPr>
              <w:ind w:firstLineChars="100" w:firstLine="220"/>
              <w:jc w:val="right"/>
              <w:rPr>
                <w:rFonts w:cs="Calibri"/>
                <w:sz w:val="22"/>
                <w:szCs w:val="22"/>
              </w:rPr>
            </w:pPr>
            <w:r>
              <w:rPr>
                <w:rFonts w:cs="Calibri"/>
                <w:sz w:val="22"/>
                <w:szCs w:val="22"/>
              </w:rPr>
              <w:t>Jul-17</w:t>
            </w:r>
          </w:p>
        </w:tc>
        <w:tc>
          <w:tcPr>
            <w:tcW w:w="970" w:type="dxa"/>
            <w:tcBorders>
              <w:top w:val="nil"/>
              <w:left w:val="single" w:sz="4" w:space="0" w:color="auto"/>
              <w:bottom w:val="nil"/>
              <w:right w:val="single" w:sz="4" w:space="0" w:color="auto"/>
            </w:tcBorders>
            <w:shd w:val="clear" w:color="auto" w:fill="auto"/>
            <w:noWrap/>
            <w:vAlign w:val="bottom"/>
            <w:hideMark/>
          </w:tcPr>
          <w:p w14:paraId="2887C74A" w14:textId="77777777" w:rsidR="00FC0920" w:rsidRPr="008A0514" w:rsidRDefault="00FC0920" w:rsidP="00FC0920">
            <w:pPr>
              <w:jc w:val="center"/>
              <w:rPr>
                <w:rFonts w:cs="Calibri"/>
                <w:sz w:val="22"/>
                <w:szCs w:val="22"/>
              </w:rPr>
            </w:pPr>
            <w:r w:rsidRPr="008A0514">
              <w:rPr>
                <w:rFonts w:cs="Calibri"/>
                <w:sz w:val="22"/>
                <w:szCs w:val="22"/>
              </w:rPr>
              <w:t>All</w:t>
            </w:r>
          </w:p>
        </w:tc>
        <w:tc>
          <w:tcPr>
            <w:tcW w:w="1122" w:type="dxa"/>
            <w:tcBorders>
              <w:top w:val="nil"/>
              <w:left w:val="nil"/>
              <w:bottom w:val="nil"/>
              <w:right w:val="nil"/>
            </w:tcBorders>
            <w:shd w:val="clear" w:color="auto" w:fill="auto"/>
            <w:noWrap/>
            <w:vAlign w:val="bottom"/>
            <w:hideMark/>
          </w:tcPr>
          <w:p w14:paraId="7BF519C7" w14:textId="77777777" w:rsidR="00FC0920" w:rsidRPr="008A0514" w:rsidRDefault="00FC0920" w:rsidP="00FC0920">
            <w:pPr>
              <w:ind w:firstLineChars="100" w:firstLine="220"/>
              <w:jc w:val="right"/>
              <w:rPr>
                <w:rFonts w:cs="Calibri"/>
                <w:sz w:val="22"/>
                <w:szCs w:val="22"/>
              </w:rPr>
            </w:pPr>
            <w:r w:rsidRPr="008A0514">
              <w:rPr>
                <w:rFonts w:cs="Calibri"/>
                <w:sz w:val="22"/>
                <w:szCs w:val="22"/>
              </w:rPr>
              <w:t>4,622</w:t>
            </w:r>
          </w:p>
        </w:tc>
        <w:tc>
          <w:tcPr>
            <w:tcW w:w="1090" w:type="dxa"/>
            <w:tcBorders>
              <w:top w:val="nil"/>
              <w:left w:val="single" w:sz="4" w:space="0" w:color="auto"/>
              <w:bottom w:val="nil"/>
              <w:right w:val="nil"/>
            </w:tcBorders>
            <w:shd w:val="clear" w:color="auto" w:fill="auto"/>
            <w:noWrap/>
            <w:vAlign w:val="bottom"/>
            <w:hideMark/>
          </w:tcPr>
          <w:p w14:paraId="04EAD478" w14:textId="77777777" w:rsidR="00FC0920" w:rsidRPr="008A0514" w:rsidRDefault="00FC0920" w:rsidP="00B81B67">
            <w:pPr>
              <w:ind w:firstLineChars="100" w:firstLine="220"/>
              <w:jc w:val="center"/>
              <w:rPr>
                <w:rFonts w:cs="Calibri"/>
                <w:sz w:val="22"/>
                <w:szCs w:val="22"/>
              </w:rPr>
            </w:pPr>
            <w:r w:rsidRPr="008A0514">
              <w:rPr>
                <w:rFonts w:cs="Calibri"/>
                <w:sz w:val="22"/>
                <w:szCs w:val="22"/>
              </w:rPr>
              <w:t>103.28</w:t>
            </w:r>
          </w:p>
        </w:tc>
        <w:tc>
          <w:tcPr>
            <w:tcW w:w="944" w:type="dxa"/>
            <w:tcBorders>
              <w:top w:val="nil"/>
              <w:left w:val="nil"/>
              <w:bottom w:val="nil"/>
              <w:right w:val="single" w:sz="4" w:space="0" w:color="auto"/>
            </w:tcBorders>
            <w:shd w:val="clear" w:color="auto" w:fill="auto"/>
            <w:noWrap/>
            <w:vAlign w:val="bottom"/>
            <w:hideMark/>
          </w:tcPr>
          <w:p w14:paraId="3FE5A5BC" w14:textId="77777777" w:rsidR="00FC0920" w:rsidRPr="008A0514" w:rsidRDefault="00FC0920" w:rsidP="00B81B67">
            <w:pPr>
              <w:ind w:firstLineChars="100" w:firstLine="220"/>
              <w:jc w:val="center"/>
              <w:rPr>
                <w:rFonts w:cs="Calibri"/>
                <w:sz w:val="22"/>
                <w:szCs w:val="22"/>
              </w:rPr>
            </w:pPr>
            <w:r w:rsidRPr="008A0514">
              <w:rPr>
                <w:rFonts w:cs="Calibri"/>
                <w:sz w:val="22"/>
                <w:szCs w:val="22"/>
              </w:rPr>
              <w:t>2.92</w:t>
            </w:r>
          </w:p>
        </w:tc>
        <w:tc>
          <w:tcPr>
            <w:tcW w:w="1017" w:type="dxa"/>
            <w:tcBorders>
              <w:top w:val="nil"/>
              <w:left w:val="nil"/>
              <w:bottom w:val="nil"/>
              <w:right w:val="nil"/>
            </w:tcBorders>
            <w:shd w:val="clear" w:color="auto" w:fill="auto"/>
            <w:noWrap/>
            <w:vAlign w:val="bottom"/>
            <w:hideMark/>
          </w:tcPr>
          <w:p w14:paraId="6813E23B" w14:textId="77777777" w:rsidR="00FC0920" w:rsidRPr="008A0514" w:rsidRDefault="00FC0920" w:rsidP="00B81B67">
            <w:pPr>
              <w:ind w:firstLineChars="100" w:firstLine="220"/>
              <w:jc w:val="center"/>
              <w:rPr>
                <w:rFonts w:cs="Calibri"/>
                <w:sz w:val="22"/>
                <w:szCs w:val="22"/>
              </w:rPr>
            </w:pPr>
            <w:r w:rsidRPr="008A0514">
              <w:rPr>
                <w:rFonts w:cs="Calibri"/>
                <w:sz w:val="22"/>
                <w:szCs w:val="22"/>
              </w:rPr>
              <w:t>22.35</w:t>
            </w:r>
          </w:p>
        </w:tc>
        <w:tc>
          <w:tcPr>
            <w:tcW w:w="1017" w:type="dxa"/>
            <w:tcBorders>
              <w:top w:val="nil"/>
              <w:left w:val="nil"/>
              <w:bottom w:val="nil"/>
              <w:right w:val="nil"/>
            </w:tcBorders>
            <w:shd w:val="clear" w:color="auto" w:fill="auto"/>
            <w:noWrap/>
            <w:vAlign w:val="bottom"/>
            <w:hideMark/>
          </w:tcPr>
          <w:p w14:paraId="5DDACF78"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0.63</w:t>
            </w:r>
          </w:p>
        </w:tc>
        <w:tc>
          <w:tcPr>
            <w:tcW w:w="1155" w:type="dxa"/>
            <w:tcBorders>
              <w:top w:val="nil"/>
              <w:left w:val="single" w:sz="4" w:space="0" w:color="auto"/>
              <w:bottom w:val="nil"/>
              <w:right w:val="single" w:sz="4" w:space="0" w:color="auto"/>
            </w:tcBorders>
            <w:shd w:val="clear" w:color="auto" w:fill="auto"/>
            <w:noWrap/>
            <w:vAlign w:val="bottom"/>
            <w:hideMark/>
          </w:tcPr>
          <w:p w14:paraId="2E5606DC" w14:textId="77777777" w:rsidR="00FC0920" w:rsidRPr="008A0514" w:rsidRDefault="00FC0920" w:rsidP="00FC0920">
            <w:pPr>
              <w:jc w:val="center"/>
              <w:rPr>
                <w:rFonts w:cs="Calibri"/>
                <w:sz w:val="22"/>
                <w:szCs w:val="22"/>
              </w:rPr>
            </w:pPr>
            <w:r w:rsidRPr="008A0514">
              <w:rPr>
                <w:rFonts w:cs="Calibri"/>
                <w:sz w:val="22"/>
                <w:szCs w:val="22"/>
              </w:rPr>
              <w:t>2.8%</w:t>
            </w:r>
          </w:p>
        </w:tc>
        <w:tc>
          <w:tcPr>
            <w:tcW w:w="878" w:type="dxa"/>
            <w:tcBorders>
              <w:top w:val="nil"/>
              <w:left w:val="nil"/>
              <w:bottom w:val="nil"/>
              <w:right w:val="single" w:sz="4" w:space="0" w:color="auto"/>
            </w:tcBorders>
            <w:shd w:val="clear" w:color="auto" w:fill="auto"/>
            <w:noWrap/>
            <w:vAlign w:val="bottom"/>
            <w:hideMark/>
          </w:tcPr>
          <w:p w14:paraId="3551FEB6" w14:textId="77777777" w:rsidR="00FC0920" w:rsidRPr="008A0514" w:rsidRDefault="00FC0920" w:rsidP="00FC0920">
            <w:pPr>
              <w:jc w:val="center"/>
              <w:rPr>
                <w:rFonts w:cs="Calibri"/>
                <w:sz w:val="22"/>
                <w:szCs w:val="22"/>
              </w:rPr>
            </w:pPr>
            <w:r w:rsidRPr="008A0514">
              <w:rPr>
                <w:rFonts w:cs="Calibri"/>
                <w:sz w:val="22"/>
                <w:szCs w:val="22"/>
              </w:rPr>
              <w:t>74</w:t>
            </w:r>
          </w:p>
        </w:tc>
      </w:tr>
      <w:tr w:rsidR="00FC0920" w:rsidRPr="008A0514" w14:paraId="1DCC2118" w14:textId="77777777" w:rsidTr="00FC0920">
        <w:trPr>
          <w:trHeight w:val="20"/>
          <w:jc w:val="center"/>
        </w:trPr>
        <w:tc>
          <w:tcPr>
            <w:tcW w:w="1164" w:type="dxa"/>
            <w:tcBorders>
              <w:top w:val="nil"/>
              <w:left w:val="single" w:sz="4" w:space="0" w:color="auto"/>
              <w:bottom w:val="nil"/>
              <w:right w:val="nil"/>
            </w:tcBorders>
            <w:shd w:val="clear" w:color="auto" w:fill="auto"/>
            <w:noWrap/>
            <w:vAlign w:val="bottom"/>
            <w:hideMark/>
          </w:tcPr>
          <w:p w14:paraId="56AC8982" w14:textId="67F0E702" w:rsidR="00FC0920" w:rsidRPr="008A0514" w:rsidRDefault="00FC0920" w:rsidP="00FC0920">
            <w:pPr>
              <w:ind w:firstLineChars="100" w:firstLine="220"/>
              <w:jc w:val="right"/>
              <w:rPr>
                <w:rFonts w:cs="Calibri"/>
                <w:sz w:val="22"/>
                <w:szCs w:val="22"/>
              </w:rPr>
            </w:pPr>
            <w:r>
              <w:rPr>
                <w:rFonts w:cs="Calibri"/>
                <w:sz w:val="22"/>
                <w:szCs w:val="22"/>
              </w:rPr>
              <w:t>Aug-17</w:t>
            </w:r>
          </w:p>
        </w:tc>
        <w:tc>
          <w:tcPr>
            <w:tcW w:w="970" w:type="dxa"/>
            <w:tcBorders>
              <w:top w:val="nil"/>
              <w:left w:val="single" w:sz="4" w:space="0" w:color="auto"/>
              <w:bottom w:val="nil"/>
              <w:right w:val="single" w:sz="4" w:space="0" w:color="auto"/>
            </w:tcBorders>
            <w:shd w:val="clear" w:color="auto" w:fill="auto"/>
            <w:noWrap/>
            <w:vAlign w:val="bottom"/>
            <w:hideMark/>
          </w:tcPr>
          <w:p w14:paraId="34242F92" w14:textId="77777777" w:rsidR="00FC0920" w:rsidRPr="008A0514" w:rsidRDefault="00FC0920" w:rsidP="00FC0920">
            <w:pPr>
              <w:jc w:val="center"/>
              <w:rPr>
                <w:rFonts w:cs="Calibri"/>
                <w:sz w:val="22"/>
                <w:szCs w:val="22"/>
              </w:rPr>
            </w:pPr>
            <w:r w:rsidRPr="008A0514">
              <w:rPr>
                <w:rFonts w:cs="Calibri"/>
                <w:sz w:val="22"/>
                <w:szCs w:val="22"/>
              </w:rPr>
              <w:t>All</w:t>
            </w:r>
          </w:p>
        </w:tc>
        <w:tc>
          <w:tcPr>
            <w:tcW w:w="1122" w:type="dxa"/>
            <w:tcBorders>
              <w:top w:val="nil"/>
              <w:left w:val="nil"/>
              <w:bottom w:val="nil"/>
              <w:right w:val="nil"/>
            </w:tcBorders>
            <w:shd w:val="clear" w:color="auto" w:fill="auto"/>
            <w:noWrap/>
            <w:vAlign w:val="bottom"/>
            <w:hideMark/>
          </w:tcPr>
          <w:p w14:paraId="6B41CABB" w14:textId="77777777" w:rsidR="00FC0920" w:rsidRPr="008A0514" w:rsidRDefault="00FC0920" w:rsidP="00FC0920">
            <w:pPr>
              <w:ind w:firstLineChars="100" w:firstLine="220"/>
              <w:jc w:val="right"/>
              <w:rPr>
                <w:rFonts w:cs="Calibri"/>
                <w:sz w:val="22"/>
                <w:szCs w:val="22"/>
              </w:rPr>
            </w:pPr>
            <w:r w:rsidRPr="008A0514">
              <w:rPr>
                <w:rFonts w:cs="Calibri"/>
                <w:sz w:val="22"/>
                <w:szCs w:val="22"/>
              </w:rPr>
              <w:t>4,984</w:t>
            </w:r>
          </w:p>
        </w:tc>
        <w:tc>
          <w:tcPr>
            <w:tcW w:w="1090" w:type="dxa"/>
            <w:tcBorders>
              <w:top w:val="nil"/>
              <w:left w:val="single" w:sz="4" w:space="0" w:color="auto"/>
              <w:bottom w:val="nil"/>
              <w:right w:val="nil"/>
            </w:tcBorders>
            <w:shd w:val="clear" w:color="auto" w:fill="auto"/>
            <w:noWrap/>
            <w:vAlign w:val="bottom"/>
            <w:hideMark/>
          </w:tcPr>
          <w:p w14:paraId="560B47D7" w14:textId="77777777" w:rsidR="00FC0920" w:rsidRPr="008A0514" w:rsidRDefault="00FC0920" w:rsidP="00B81B67">
            <w:pPr>
              <w:ind w:firstLineChars="100" w:firstLine="220"/>
              <w:jc w:val="center"/>
              <w:rPr>
                <w:rFonts w:cs="Calibri"/>
                <w:sz w:val="22"/>
                <w:szCs w:val="22"/>
              </w:rPr>
            </w:pPr>
            <w:r w:rsidRPr="008A0514">
              <w:rPr>
                <w:rFonts w:cs="Calibri"/>
                <w:sz w:val="22"/>
                <w:szCs w:val="22"/>
              </w:rPr>
              <w:t>106.01</w:t>
            </w:r>
          </w:p>
        </w:tc>
        <w:tc>
          <w:tcPr>
            <w:tcW w:w="944" w:type="dxa"/>
            <w:tcBorders>
              <w:top w:val="nil"/>
              <w:left w:val="nil"/>
              <w:bottom w:val="nil"/>
              <w:right w:val="single" w:sz="4" w:space="0" w:color="auto"/>
            </w:tcBorders>
            <w:shd w:val="clear" w:color="auto" w:fill="auto"/>
            <w:noWrap/>
            <w:vAlign w:val="bottom"/>
            <w:hideMark/>
          </w:tcPr>
          <w:p w14:paraId="09CFF021"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-0.29</w:t>
            </w:r>
          </w:p>
        </w:tc>
        <w:tc>
          <w:tcPr>
            <w:tcW w:w="1017" w:type="dxa"/>
            <w:tcBorders>
              <w:top w:val="nil"/>
              <w:left w:val="nil"/>
              <w:bottom w:val="nil"/>
              <w:right w:val="nil"/>
            </w:tcBorders>
            <w:shd w:val="clear" w:color="auto" w:fill="auto"/>
            <w:noWrap/>
            <w:vAlign w:val="bottom"/>
            <w:hideMark/>
          </w:tcPr>
          <w:p w14:paraId="093BE07B" w14:textId="77777777" w:rsidR="00FC0920" w:rsidRPr="008A0514" w:rsidRDefault="00FC0920" w:rsidP="00B81B67">
            <w:pPr>
              <w:ind w:firstLineChars="100" w:firstLine="220"/>
              <w:jc w:val="center"/>
              <w:rPr>
                <w:rFonts w:cs="Calibri"/>
                <w:sz w:val="22"/>
                <w:szCs w:val="22"/>
              </w:rPr>
            </w:pPr>
            <w:r w:rsidRPr="008A0514">
              <w:rPr>
                <w:rFonts w:cs="Calibri"/>
                <w:sz w:val="22"/>
                <w:szCs w:val="22"/>
              </w:rPr>
              <w:t>21.27</w:t>
            </w:r>
          </w:p>
        </w:tc>
        <w:tc>
          <w:tcPr>
            <w:tcW w:w="1017" w:type="dxa"/>
            <w:tcBorders>
              <w:top w:val="nil"/>
              <w:left w:val="nil"/>
              <w:bottom w:val="nil"/>
              <w:right w:val="nil"/>
            </w:tcBorders>
            <w:shd w:val="clear" w:color="auto" w:fill="auto"/>
            <w:noWrap/>
            <w:vAlign w:val="bottom"/>
            <w:hideMark/>
          </w:tcPr>
          <w:p w14:paraId="591F94E4"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-0.06</w:t>
            </w:r>
          </w:p>
        </w:tc>
        <w:tc>
          <w:tcPr>
            <w:tcW w:w="1155" w:type="dxa"/>
            <w:tcBorders>
              <w:top w:val="nil"/>
              <w:left w:val="single" w:sz="4" w:space="0" w:color="auto"/>
              <w:bottom w:val="nil"/>
              <w:right w:val="single" w:sz="4" w:space="0" w:color="auto"/>
            </w:tcBorders>
            <w:shd w:val="clear" w:color="auto" w:fill="auto"/>
            <w:noWrap/>
            <w:vAlign w:val="bottom"/>
            <w:hideMark/>
          </w:tcPr>
          <w:p w14:paraId="2B9FD03D" w14:textId="77777777" w:rsidR="00FC0920" w:rsidRPr="008A0514" w:rsidRDefault="00FC0920" w:rsidP="00FC0920">
            <w:pPr>
              <w:jc w:val="center"/>
              <w:rPr>
                <w:rFonts w:cs="Calibri"/>
                <w:sz w:val="22"/>
                <w:szCs w:val="22"/>
              </w:rPr>
            </w:pPr>
            <w:r w:rsidRPr="008A0514">
              <w:rPr>
                <w:rFonts w:cs="Calibri"/>
                <w:sz w:val="22"/>
                <w:szCs w:val="22"/>
              </w:rPr>
              <w:t>-0.3%</w:t>
            </w:r>
          </w:p>
        </w:tc>
        <w:tc>
          <w:tcPr>
            <w:tcW w:w="878" w:type="dxa"/>
            <w:tcBorders>
              <w:top w:val="nil"/>
              <w:left w:val="nil"/>
              <w:bottom w:val="nil"/>
              <w:right w:val="single" w:sz="4" w:space="0" w:color="auto"/>
            </w:tcBorders>
            <w:shd w:val="clear" w:color="auto" w:fill="auto"/>
            <w:noWrap/>
            <w:vAlign w:val="bottom"/>
            <w:hideMark/>
          </w:tcPr>
          <w:p w14:paraId="2D046CBC" w14:textId="77777777" w:rsidR="00FC0920" w:rsidRPr="008A0514" w:rsidRDefault="00FC0920" w:rsidP="00FC0920">
            <w:pPr>
              <w:jc w:val="center"/>
              <w:rPr>
                <w:rFonts w:cs="Calibri"/>
                <w:sz w:val="22"/>
                <w:szCs w:val="22"/>
              </w:rPr>
            </w:pPr>
            <w:r w:rsidRPr="008A0514">
              <w:rPr>
                <w:rFonts w:cs="Calibri"/>
                <w:sz w:val="22"/>
                <w:szCs w:val="22"/>
              </w:rPr>
              <w:t>73</w:t>
            </w:r>
          </w:p>
        </w:tc>
      </w:tr>
      <w:tr w:rsidR="00FC0920" w:rsidRPr="008A0514" w14:paraId="4B51D64C" w14:textId="77777777" w:rsidTr="00FC0920">
        <w:trPr>
          <w:trHeight w:val="20"/>
          <w:jc w:val="center"/>
        </w:trPr>
        <w:tc>
          <w:tcPr>
            <w:tcW w:w="1164" w:type="dxa"/>
            <w:tcBorders>
              <w:top w:val="nil"/>
              <w:left w:val="single" w:sz="4" w:space="0" w:color="auto"/>
              <w:bottom w:val="single" w:sz="4" w:space="0" w:color="auto"/>
              <w:right w:val="nil"/>
            </w:tcBorders>
            <w:shd w:val="clear" w:color="auto" w:fill="auto"/>
            <w:noWrap/>
            <w:vAlign w:val="bottom"/>
            <w:hideMark/>
          </w:tcPr>
          <w:p w14:paraId="3B1E636C" w14:textId="34F55A0D" w:rsidR="00FC0920" w:rsidRPr="008A0514" w:rsidRDefault="00FC0920" w:rsidP="00FC0920">
            <w:pPr>
              <w:ind w:firstLineChars="100" w:firstLine="220"/>
              <w:jc w:val="right"/>
              <w:rPr>
                <w:rFonts w:cs="Calibri"/>
                <w:sz w:val="22"/>
                <w:szCs w:val="22"/>
              </w:rPr>
            </w:pPr>
            <w:r>
              <w:rPr>
                <w:rFonts w:cs="Calibri"/>
                <w:sz w:val="22"/>
                <w:szCs w:val="22"/>
              </w:rPr>
              <w:t>Sep-17</w:t>
            </w:r>
          </w:p>
        </w:tc>
        <w:tc>
          <w:tcPr>
            <w:tcW w:w="970" w:type="dxa"/>
            <w:tcBorders>
              <w:top w:val="nil"/>
              <w:left w:val="single" w:sz="4" w:space="0" w:color="auto"/>
              <w:bottom w:val="single" w:sz="4" w:space="0" w:color="auto"/>
              <w:right w:val="single" w:sz="4" w:space="0" w:color="auto"/>
            </w:tcBorders>
            <w:shd w:val="clear" w:color="auto" w:fill="auto"/>
            <w:noWrap/>
            <w:vAlign w:val="bottom"/>
            <w:hideMark/>
          </w:tcPr>
          <w:p w14:paraId="17D8E793" w14:textId="77777777" w:rsidR="00FC0920" w:rsidRPr="008A0514" w:rsidRDefault="00FC0920" w:rsidP="00FC0920">
            <w:pPr>
              <w:jc w:val="center"/>
              <w:rPr>
                <w:rFonts w:cs="Calibri"/>
                <w:sz w:val="22"/>
                <w:szCs w:val="22"/>
              </w:rPr>
            </w:pPr>
            <w:r w:rsidRPr="008A0514">
              <w:rPr>
                <w:rFonts w:cs="Calibri"/>
                <w:sz w:val="22"/>
                <w:szCs w:val="22"/>
              </w:rPr>
              <w:t>All</w:t>
            </w:r>
          </w:p>
        </w:tc>
        <w:tc>
          <w:tcPr>
            <w:tcW w:w="1122" w:type="dxa"/>
            <w:tcBorders>
              <w:top w:val="nil"/>
              <w:left w:val="nil"/>
              <w:bottom w:val="single" w:sz="4" w:space="0" w:color="auto"/>
              <w:right w:val="nil"/>
            </w:tcBorders>
            <w:shd w:val="clear" w:color="auto" w:fill="auto"/>
            <w:noWrap/>
            <w:vAlign w:val="bottom"/>
            <w:hideMark/>
          </w:tcPr>
          <w:p w14:paraId="7738B4DC" w14:textId="77777777" w:rsidR="00FC0920" w:rsidRPr="008A0514" w:rsidRDefault="00FC0920" w:rsidP="00FC0920">
            <w:pPr>
              <w:ind w:firstLineChars="100" w:firstLine="220"/>
              <w:jc w:val="right"/>
              <w:rPr>
                <w:rFonts w:cs="Calibri"/>
                <w:sz w:val="22"/>
                <w:szCs w:val="22"/>
              </w:rPr>
            </w:pPr>
            <w:r w:rsidRPr="008A0514">
              <w:rPr>
                <w:rFonts w:cs="Calibri"/>
                <w:sz w:val="22"/>
                <w:szCs w:val="22"/>
              </w:rPr>
              <w:t>5,229</w:t>
            </w:r>
          </w:p>
        </w:tc>
        <w:tc>
          <w:tcPr>
            <w:tcW w:w="1090" w:type="dxa"/>
            <w:tcBorders>
              <w:top w:val="nil"/>
              <w:left w:val="single" w:sz="4" w:space="0" w:color="auto"/>
              <w:bottom w:val="single" w:sz="4" w:space="0" w:color="auto"/>
              <w:right w:val="nil"/>
            </w:tcBorders>
            <w:shd w:val="clear" w:color="auto" w:fill="auto"/>
            <w:noWrap/>
            <w:vAlign w:val="bottom"/>
            <w:hideMark/>
          </w:tcPr>
          <w:p w14:paraId="557F608B" w14:textId="77777777" w:rsidR="00FC0920" w:rsidRPr="008A0514" w:rsidRDefault="00FC0920" w:rsidP="00B81B67">
            <w:pPr>
              <w:ind w:firstLineChars="100" w:firstLine="220"/>
              <w:jc w:val="center"/>
              <w:rPr>
                <w:rFonts w:cs="Calibri"/>
                <w:sz w:val="22"/>
                <w:szCs w:val="22"/>
              </w:rPr>
            </w:pPr>
            <w:r w:rsidRPr="008A0514">
              <w:rPr>
                <w:rFonts w:cs="Calibri"/>
                <w:sz w:val="22"/>
                <w:szCs w:val="22"/>
              </w:rPr>
              <w:t>102.35</w:t>
            </w:r>
          </w:p>
        </w:tc>
        <w:tc>
          <w:tcPr>
            <w:tcW w:w="944" w:type="dxa"/>
            <w:tcBorders>
              <w:top w:val="nil"/>
              <w:left w:val="nil"/>
              <w:bottom w:val="single" w:sz="4" w:space="0" w:color="auto"/>
              <w:right w:val="single" w:sz="4" w:space="0" w:color="auto"/>
            </w:tcBorders>
            <w:shd w:val="clear" w:color="auto" w:fill="auto"/>
            <w:noWrap/>
            <w:vAlign w:val="bottom"/>
            <w:hideMark/>
          </w:tcPr>
          <w:p w14:paraId="12A7A1D2" w14:textId="77777777" w:rsidR="00FC0920" w:rsidRPr="008A0514" w:rsidRDefault="00FC0920" w:rsidP="00B81B67">
            <w:pPr>
              <w:ind w:firstLineChars="100" w:firstLine="220"/>
              <w:jc w:val="center"/>
              <w:rPr>
                <w:rFonts w:cs="Calibri"/>
                <w:sz w:val="22"/>
                <w:szCs w:val="22"/>
              </w:rPr>
            </w:pPr>
            <w:r w:rsidRPr="008A0514">
              <w:rPr>
                <w:rFonts w:cs="Calibri"/>
                <w:sz w:val="22"/>
                <w:szCs w:val="22"/>
              </w:rPr>
              <w:t>2.95</w:t>
            </w:r>
          </w:p>
        </w:tc>
        <w:tc>
          <w:tcPr>
            <w:tcW w:w="1017" w:type="dxa"/>
            <w:tcBorders>
              <w:top w:val="nil"/>
              <w:left w:val="nil"/>
              <w:bottom w:val="single" w:sz="4" w:space="0" w:color="auto"/>
              <w:right w:val="nil"/>
            </w:tcBorders>
            <w:shd w:val="clear" w:color="auto" w:fill="auto"/>
            <w:noWrap/>
            <w:vAlign w:val="bottom"/>
            <w:hideMark/>
          </w:tcPr>
          <w:p w14:paraId="43F7A94A" w14:textId="77777777" w:rsidR="00FC0920" w:rsidRPr="008A0514" w:rsidRDefault="00FC0920" w:rsidP="00B81B67">
            <w:pPr>
              <w:ind w:firstLineChars="100" w:firstLine="220"/>
              <w:jc w:val="center"/>
              <w:rPr>
                <w:rFonts w:cs="Calibri"/>
                <w:sz w:val="22"/>
                <w:szCs w:val="22"/>
              </w:rPr>
            </w:pPr>
            <w:r w:rsidRPr="008A0514">
              <w:rPr>
                <w:rFonts w:cs="Calibri"/>
                <w:sz w:val="22"/>
                <w:szCs w:val="22"/>
              </w:rPr>
              <w:t>19.57</w:t>
            </w:r>
          </w:p>
        </w:tc>
        <w:tc>
          <w:tcPr>
            <w:tcW w:w="1017" w:type="dxa"/>
            <w:tcBorders>
              <w:top w:val="nil"/>
              <w:left w:val="nil"/>
              <w:bottom w:val="single" w:sz="4" w:space="0" w:color="auto"/>
              <w:right w:val="nil"/>
            </w:tcBorders>
            <w:shd w:val="clear" w:color="auto" w:fill="auto"/>
            <w:noWrap/>
            <w:vAlign w:val="bottom"/>
            <w:hideMark/>
          </w:tcPr>
          <w:p w14:paraId="0F2657F9" w14:textId="77777777" w:rsidR="00FC0920" w:rsidRPr="008A0514" w:rsidRDefault="00FC0920" w:rsidP="00B81B67">
            <w:pPr>
              <w:ind w:firstLineChars="100" w:firstLine="220"/>
              <w:jc w:val="center"/>
              <w:rPr>
                <w:rFonts w:cs="Calibri"/>
                <w:sz w:val="22"/>
                <w:szCs w:val="22"/>
              </w:rPr>
            </w:pPr>
            <w:r w:rsidRPr="008A0514">
              <w:rPr>
                <w:rFonts w:cs="Calibri"/>
                <w:sz w:val="22"/>
                <w:szCs w:val="22"/>
              </w:rPr>
              <w:t>0.56</w:t>
            </w:r>
          </w:p>
        </w:tc>
        <w:tc>
          <w:tcPr>
            <w:tcW w:w="1155" w:type="dxa"/>
            <w:tcBorders>
              <w:top w:val="nil"/>
              <w:left w:val="single" w:sz="4" w:space="0" w:color="auto"/>
              <w:bottom w:val="single" w:sz="4" w:space="0" w:color="auto"/>
              <w:right w:val="single" w:sz="4" w:space="0" w:color="auto"/>
            </w:tcBorders>
            <w:shd w:val="clear" w:color="auto" w:fill="auto"/>
            <w:noWrap/>
            <w:vAlign w:val="bottom"/>
            <w:hideMark/>
          </w:tcPr>
          <w:p w14:paraId="4D09A800" w14:textId="77777777" w:rsidR="00FC0920" w:rsidRPr="008A0514" w:rsidRDefault="00FC0920" w:rsidP="00FC0920">
            <w:pPr>
              <w:jc w:val="center"/>
              <w:rPr>
                <w:rFonts w:cs="Calibri"/>
                <w:sz w:val="22"/>
                <w:szCs w:val="22"/>
              </w:rPr>
            </w:pPr>
            <w:r w:rsidRPr="008A0514">
              <w:rPr>
                <w:rFonts w:cs="Calibri"/>
                <w:sz w:val="22"/>
                <w:szCs w:val="22"/>
              </w:rPr>
              <w:t>2.9%</w:t>
            </w:r>
          </w:p>
        </w:tc>
        <w:tc>
          <w:tcPr>
            <w:tcW w:w="878" w:type="dxa"/>
            <w:tcBorders>
              <w:top w:val="nil"/>
              <w:left w:val="nil"/>
              <w:bottom w:val="single" w:sz="4" w:space="0" w:color="auto"/>
              <w:right w:val="single" w:sz="4" w:space="0" w:color="auto"/>
            </w:tcBorders>
            <w:shd w:val="clear" w:color="auto" w:fill="auto"/>
            <w:noWrap/>
            <w:vAlign w:val="bottom"/>
            <w:hideMark/>
          </w:tcPr>
          <w:p w14:paraId="067ED8DA" w14:textId="77777777" w:rsidR="00FC0920" w:rsidRPr="008A0514" w:rsidRDefault="00FC0920" w:rsidP="00FC0920">
            <w:pPr>
              <w:jc w:val="center"/>
              <w:rPr>
                <w:rFonts w:cs="Calibri"/>
                <w:sz w:val="22"/>
                <w:szCs w:val="22"/>
              </w:rPr>
            </w:pPr>
            <w:r w:rsidRPr="008A0514">
              <w:rPr>
                <w:rFonts w:cs="Calibri"/>
                <w:sz w:val="22"/>
                <w:szCs w:val="22"/>
              </w:rPr>
              <w:t>72</w:t>
            </w:r>
          </w:p>
        </w:tc>
      </w:tr>
    </w:tbl>
    <w:p w14:paraId="130564CE" w14:textId="0C768422" w:rsidR="00B824FE" w:rsidRDefault="00B824FE" w:rsidP="00237521"/>
    <w:p w14:paraId="558F16AE" w14:textId="29FDB746" w:rsidR="00BA0427" w:rsidRDefault="00BA0427" w:rsidP="00095AB1">
      <w:pPr>
        <w:spacing w:after="120"/>
      </w:pPr>
      <w:r>
        <w:t>Figure 5.</w:t>
      </w:r>
      <w:r w:rsidR="00472920">
        <w:t>7</w:t>
      </w:r>
      <w:r>
        <w:t xml:space="preserve"> shows aggregate hourly observed and estimated reference loads, along with hourly estimated load impacts for the </w:t>
      </w:r>
      <w:r w:rsidR="005E5D58">
        <w:t>CPP</w:t>
      </w:r>
      <w:r>
        <w:t xml:space="preserve"> customers for the average weekday in August. Figure 5.</w:t>
      </w:r>
      <w:r w:rsidR="00472920">
        <w:t>8</w:t>
      </w:r>
      <w:r>
        <w:t xml:space="preserve"> shows the same information for the average weekday in January.</w:t>
      </w:r>
      <w:r w:rsidR="00CA562C" w:rsidRPr="00CA562C">
        <w:t xml:space="preserve"> </w:t>
      </w:r>
      <w:r w:rsidR="00CA562C">
        <w:t xml:space="preserve">Each Figure illustrates a load shift out of the peak period to the off or super </w:t>
      </w:r>
      <w:r w:rsidR="0031108C">
        <w:t>off-peak</w:t>
      </w:r>
      <w:r w:rsidR="00CA562C">
        <w:t xml:space="preserve"> periods. The decrease in usage during the winter period occurs</w:t>
      </w:r>
      <w:r w:rsidR="00820BB8">
        <w:t xml:space="preserve"> </w:t>
      </w:r>
      <w:r w:rsidR="00CA562C">
        <w:t>for a</w:t>
      </w:r>
      <w:r w:rsidR="00415ECE">
        <w:t xml:space="preserve"> longer duration during the day, even before the TOU peak-period begins.</w:t>
      </w:r>
    </w:p>
    <w:p w14:paraId="6D65F490" w14:textId="77777777" w:rsidR="00BA0427" w:rsidRDefault="00BA0427" w:rsidP="00095AB1">
      <w:pPr>
        <w:spacing w:after="120"/>
      </w:pPr>
    </w:p>
    <w:p w14:paraId="4E043B45" w14:textId="709B5AB0" w:rsidR="00BA0427" w:rsidRDefault="00BA0427" w:rsidP="002F1CED">
      <w:pPr>
        <w:pStyle w:val="FigureCaption"/>
        <w:keepNext/>
      </w:pPr>
      <w:r>
        <w:lastRenderedPageBreak/>
        <w:t xml:space="preserve"> </w:t>
      </w:r>
      <w:bookmarkStart w:id="95" w:name="_Toc509576823"/>
      <w:r w:rsidRPr="000C62F7">
        <w:t xml:space="preserve">Figure </w:t>
      </w:r>
      <w:r w:rsidR="000C33F6" w:rsidRPr="000C62F7">
        <w:t>5</w:t>
      </w:r>
      <w:r w:rsidRPr="000C62F7">
        <w:t>.</w:t>
      </w:r>
      <w:r w:rsidR="00472920" w:rsidRPr="000C62F7">
        <w:t>7</w:t>
      </w:r>
      <w:r w:rsidRPr="000C62F7">
        <w:t xml:space="preserve">: Aggregate Hourly Loads and </w:t>
      </w:r>
      <w:r w:rsidR="00DD2BF2">
        <w:t xml:space="preserve">TOU </w:t>
      </w:r>
      <w:r w:rsidRPr="000C62F7">
        <w:t xml:space="preserve">Load Impacts </w:t>
      </w:r>
      <w:r w:rsidR="00640CA8" w:rsidRPr="000C62F7">
        <w:t>(M</w:t>
      </w:r>
      <w:r w:rsidRPr="000C62F7">
        <w:t>W</w:t>
      </w:r>
      <w:r w:rsidR="007F52D3">
        <w:t>h/h</w:t>
      </w:r>
      <w:r w:rsidRPr="000C62F7">
        <w:t xml:space="preserve">) – </w:t>
      </w:r>
      <w:r w:rsidR="005E5D58" w:rsidRPr="000C62F7">
        <w:t>CPP</w:t>
      </w:r>
      <w:r w:rsidR="00DD2BF2">
        <w:t xml:space="preserve"> Customers</w:t>
      </w:r>
      <w:r w:rsidRPr="000C62F7">
        <w:br/>
        <w:t>(</w:t>
      </w:r>
      <w:r w:rsidRPr="000C62F7">
        <w:rPr>
          <w:i/>
        </w:rPr>
        <w:t>Average Weekday, August 201</w:t>
      </w:r>
      <w:r w:rsidR="000C62F7" w:rsidRPr="000C62F7">
        <w:rPr>
          <w:i/>
        </w:rPr>
        <w:t>7</w:t>
      </w:r>
      <w:r w:rsidRPr="000C62F7">
        <w:t>)</w:t>
      </w:r>
      <w:bookmarkEnd w:id="95"/>
    </w:p>
    <w:p w14:paraId="2E10979F" w14:textId="7DC55C19" w:rsidR="00C44D9A" w:rsidRDefault="007F52D3" w:rsidP="00095AB1">
      <w:pPr>
        <w:spacing w:after="120"/>
        <w:jc w:val="center"/>
      </w:pPr>
      <w:r>
        <w:rPr>
          <w:noProof/>
        </w:rPr>
        <w:drawing>
          <wp:inline distT="0" distB="0" distL="0" distR="0" wp14:anchorId="3521B58C" wp14:editId="0B2DF965">
            <wp:extent cx="5035550" cy="32004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035550" cy="3200400"/>
                    </a:xfrm>
                    <a:prstGeom prst="rect">
                      <a:avLst/>
                    </a:prstGeom>
                    <a:noFill/>
                  </pic:spPr>
                </pic:pic>
              </a:graphicData>
            </a:graphic>
          </wp:inline>
        </w:drawing>
      </w:r>
    </w:p>
    <w:p w14:paraId="393C25AA" w14:textId="5AABA127" w:rsidR="00BA0427" w:rsidRDefault="00BA0427" w:rsidP="00095AB1">
      <w:pPr>
        <w:spacing w:after="120"/>
      </w:pPr>
    </w:p>
    <w:p w14:paraId="61D19D6F" w14:textId="78381F3A" w:rsidR="00BA0427" w:rsidRDefault="000C33F6" w:rsidP="00095AB1">
      <w:pPr>
        <w:pStyle w:val="FigureCaption"/>
        <w:keepNext/>
      </w:pPr>
      <w:bookmarkStart w:id="96" w:name="_Toc509576824"/>
      <w:r w:rsidRPr="000C62F7">
        <w:t>Figure 5</w:t>
      </w:r>
      <w:r w:rsidR="00BA0427" w:rsidRPr="000C62F7">
        <w:t>.</w:t>
      </w:r>
      <w:r w:rsidR="00472920" w:rsidRPr="000C62F7">
        <w:t>8</w:t>
      </w:r>
      <w:r w:rsidR="00BA0427" w:rsidRPr="000C62F7">
        <w:t xml:space="preserve">: Aggregate Hourly Loads and </w:t>
      </w:r>
      <w:r w:rsidR="00DD2BF2">
        <w:t xml:space="preserve">TOU </w:t>
      </w:r>
      <w:r w:rsidR="00BA0427" w:rsidRPr="000C62F7">
        <w:t>Load Impacts (</w:t>
      </w:r>
      <w:r w:rsidR="00640CA8" w:rsidRPr="000C62F7">
        <w:t>M</w:t>
      </w:r>
      <w:r w:rsidR="00BA0427" w:rsidRPr="000C62F7">
        <w:t>W</w:t>
      </w:r>
      <w:r w:rsidR="007F52D3">
        <w:t>h/h</w:t>
      </w:r>
      <w:r w:rsidR="00BA0427" w:rsidRPr="000C62F7">
        <w:t xml:space="preserve">) – </w:t>
      </w:r>
      <w:r w:rsidR="005E5D58" w:rsidRPr="000C62F7">
        <w:t>CPP</w:t>
      </w:r>
      <w:r w:rsidR="00DD2BF2">
        <w:t xml:space="preserve"> Customers</w:t>
      </w:r>
      <w:r w:rsidR="00BA0427" w:rsidRPr="000C62F7">
        <w:br/>
        <w:t>(</w:t>
      </w:r>
      <w:r w:rsidR="00BA0427" w:rsidRPr="000C62F7">
        <w:rPr>
          <w:i/>
        </w:rPr>
        <w:t>Average Weekday, January 201</w:t>
      </w:r>
      <w:r w:rsidR="000C62F7">
        <w:rPr>
          <w:i/>
        </w:rPr>
        <w:t>7</w:t>
      </w:r>
      <w:r w:rsidR="00BA0427" w:rsidRPr="000C62F7">
        <w:t>)</w:t>
      </w:r>
      <w:bookmarkEnd w:id="96"/>
    </w:p>
    <w:p w14:paraId="7444F03D" w14:textId="752DFFA6" w:rsidR="00E66911" w:rsidRDefault="007F52D3" w:rsidP="00095AB1">
      <w:pPr>
        <w:spacing w:after="120"/>
        <w:jc w:val="center"/>
      </w:pPr>
      <w:r>
        <w:rPr>
          <w:noProof/>
        </w:rPr>
        <w:drawing>
          <wp:inline distT="0" distB="0" distL="0" distR="0" wp14:anchorId="1B97CB50" wp14:editId="06BF5509">
            <wp:extent cx="5047615" cy="3194685"/>
            <wp:effectExtent l="0" t="0" r="635" b="5715"/>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5047615" cy="3194685"/>
                    </a:xfrm>
                    <a:prstGeom prst="rect">
                      <a:avLst/>
                    </a:prstGeom>
                    <a:noFill/>
                  </pic:spPr>
                </pic:pic>
              </a:graphicData>
            </a:graphic>
          </wp:inline>
        </w:drawing>
      </w:r>
    </w:p>
    <w:p w14:paraId="40442757" w14:textId="63142689" w:rsidR="00F94381" w:rsidRDefault="008771A7" w:rsidP="00095AB1">
      <w:pPr>
        <w:pStyle w:val="Heading1"/>
        <w:spacing w:after="120"/>
      </w:pPr>
      <w:bookmarkStart w:id="97" w:name="_Toc509576764"/>
      <w:r>
        <w:lastRenderedPageBreak/>
        <w:t>6</w:t>
      </w:r>
      <w:r w:rsidR="00F94381">
        <w:t xml:space="preserve">. </w:t>
      </w:r>
      <w:r w:rsidR="0023738E">
        <w:rPr>
          <w:i/>
        </w:rPr>
        <w:t>Ex-Ante</w:t>
      </w:r>
      <w:r w:rsidR="00A863FF" w:rsidRPr="00A863FF">
        <w:t xml:space="preserve"> </w:t>
      </w:r>
      <w:r w:rsidR="00F94381">
        <w:t>Load Impact</w:t>
      </w:r>
      <w:r w:rsidR="007B65A8">
        <w:t>s</w:t>
      </w:r>
      <w:bookmarkEnd w:id="97"/>
      <w:r w:rsidR="007B65A8">
        <w:t xml:space="preserve"> </w:t>
      </w:r>
    </w:p>
    <w:p w14:paraId="0CF162F3" w14:textId="5C712CF9" w:rsidR="00A863FF" w:rsidRDefault="007B65A8" w:rsidP="00095AB1">
      <w:pPr>
        <w:spacing w:after="120"/>
        <w:rPr>
          <w:rFonts w:asciiTheme="minorHAnsi" w:hAnsiTheme="minorHAnsi"/>
        </w:rPr>
      </w:pPr>
      <w:r>
        <w:t xml:space="preserve">This section describes </w:t>
      </w:r>
      <w:r w:rsidR="00BA285E">
        <w:t xml:space="preserve">the </w:t>
      </w:r>
      <w:r>
        <w:t xml:space="preserve">development of </w:t>
      </w:r>
      <w:r w:rsidRPr="0078684A">
        <w:rPr>
          <w:i/>
        </w:rPr>
        <w:t>ex-ante</w:t>
      </w:r>
      <w:r>
        <w:t xml:space="preserve"> load impact</w:t>
      </w:r>
      <w:r w:rsidR="0078684A">
        <w:t xml:space="preserve"> forecast</w:t>
      </w:r>
      <w:r>
        <w:t xml:space="preserve">s for the </w:t>
      </w:r>
      <w:r w:rsidR="005E5D58">
        <w:t>CPP</w:t>
      </w:r>
      <w:r w:rsidR="000C33F6">
        <w:t xml:space="preserve"> </w:t>
      </w:r>
      <w:r w:rsidR="00500126">
        <w:t xml:space="preserve">and TOU </w:t>
      </w:r>
      <w:r w:rsidR="000C33F6">
        <w:t>rate</w:t>
      </w:r>
      <w:r w:rsidR="00500126">
        <w:t>s</w:t>
      </w:r>
      <w:r>
        <w:t>. W</w:t>
      </w:r>
      <w:r w:rsidR="00500126">
        <w:t>e first describe the methodologies</w:t>
      </w:r>
      <w:r>
        <w:t xml:space="preserve"> </w:t>
      </w:r>
      <w:r w:rsidR="00A962CD">
        <w:t xml:space="preserve">used </w:t>
      </w:r>
      <w:r>
        <w:t>and then present the resulting forecasts.</w:t>
      </w:r>
      <w:r w:rsidR="00BA285E">
        <w:t xml:space="preserve"> </w:t>
      </w:r>
      <w:r w:rsidR="0023738E">
        <w:rPr>
          <w:i/>
        </w:rPr>
        <w:t>Ex-</w:t>
      </w:r>
      <w:r w:rsidR="00B22527">
        <w:rPr>
          <w:i/>
        </w:rPr>
        <w:t>a</w:t>
      </w:r>
      <w:r w:rsidR="0023738E">
        <w:rPr>
          <w:i/>
        </w:rPr>
        <w:t>nte</w:t>
      </w:r>
      <w:r w:rsidR="0078684A">
        <w:t xml:space="preserve"> load impacts represent forecasts of load impacts that are expected to occur when program events are called in future years</w:t>
      </w:r>
      <w:r w:rsidR="00500126">
        <w:t xml:space="preserve"> (</w:t>
      </w:r>
      <w:r w:rsidR="005E5D58">
        <w:t>CPP</w:t>
      </w:r>
      <w:r w:rsidR="00500126">
        <w:t>), or in TOU peak periods (TOU)</w:t>
      </w:r>
      <w:r w:rsidR="0078684A">
        <w:t xml:space="preserve">, under standardized weather conditions. The forecasts are based on </w:t>
      </w:r>
      <w:r w:rsidR="00AB493E">
        <w:t xml:space="preserve">analyses </w:t>
      </w:r>
      <w:r w:rsidR="00F34791">
        <w:t xml:space="preserve">of </w:t>
      </w:r>
      <w:r w:rsidR="0078684A">
        <w:t xml:space="preserve">per-customer load impact findings from </w:t>
      </w:r>
      <w:r w:rsidR="0078684A" w:rsidRPr="0078684A">
        <w:rPr>
          <w:i/>
        </w:rPr>
        <w:t>ex-post</w:t>
      </w:r>
      <w:r w:rsidR="0078684A">
        <w:t xml:space="preserve"> evaluations, development of weather-sensitive reference loads, and incorporation of utility forecasts of program enrollments.  </w:t>
      </w:r>
    </w:p>
    <w:p w14:paraId="65403054" w14:textId="16A0A25E" w:rsidR="00BA285E" w:rsidRDefault="008771A7" w:rsidP="00095AB1">
      <w:pPr>
        <w:pStyle w:val="Heading2"/>
        <w:keepLines/>
        <w:spacing w:after="120"/>
      </w:pPr>
      <w:bookmarkStart w:id="98" w:name="_Toc509576765"/>
      <w:r>
        <w:t>6</w:t>
      </w:r>
      <w:r w:rsidR="00BA285E">
        <w:t xml:space="preserve">.1 </w:t>
      </w:r>
      <w:r w:rsidR="007B65A8">
        <w:t>M</w:t>
      </w:r>
      <w:r w:rsidR="004F133A">
        <w:t>ethodology</w:t>
      </w:r>
      <w:bookmarkEnd w:id="98"/>
    </w:p>
    <w:p w14:paraId="0010CD15" w14:textId="11DB2667" w:rsidR="009F45F4" w:rsidRPr="0023738E" w:rsidRDefault="008771A7" w:rsidP="00095AB1">
      <w:pPr>
        <w:pStyle w:val="Heading3"/>
        <w:spacing w:after="120"/>
        <w:rPr>
          <w:sz w:val="24"/>
          <w:szCs w:val="24"/>
        </w:rPr>
      </w:pPr>
      <w:bookmarkStart w:id="99" w:name="_Toc509576766"/>
      <w:r>
        <w:rPr>
          <w:sz w:val="24"/>
          <w:szCs w:val="24"/>
        </w:rPr>
        <w:t>6</w:t>
      </w:r>
      <w:r w:rsidR="00A962CD" w:rsidRPr="0023738E">
        <w:rPr>
          <w:sz w:val="24"/>
          <w:szCs w:val="24"/>
        </w:rPr>
        <w:t xml:space="preserve">.1.1 </w:t>
      </w:r>
      <w:r w:rsidR="00F34791" w:rsidRPr="0023738E">
        <w:rPr>
          <w:sz w:val="24"/>
          <w:szCs w:val="24"/>
        </w:rPr>
        <w:t>Per-customer l</w:t>
      </w:r>
      <w:r w:rsidR="00A962CD" w:rsidRPr="0023738E">
        <w:rPr>
          <w:sz w:val="24"/>
          <w:szCs w:val="24"/>
        </w:rPr>
        <w:t>oad impact</w:t>
      </w:r>
      <w:r w:rsidR="00F34791" w:rsidRPr="0023738E">
        <w:rPr>
          <w:sz w:val="24"/>
          <w:szCs w:val="24"/>
        </w:rPr>
        <w:t>s</w:t>
      </w:r>
      <w:bookmarkEnd w:id="99"/>
    </w:p>
    <w:p w14:paraId="006F2C2A" w14:textId="37197210" w:rsidR="00064947" w:rsidRDefault="00CD0C19" w:rsidP="00095AB1">
      <w:pPr>
        <w:spacing w:after="120"/>
      </w:pPr>
      <w:r>
        <w:t>In cases where multiple events have been called in the historical period</w:t>
      </w:r>
      <w:r w:rsidR="00500126">
        <w:t xml:space="preserve"> for event-based programs such as </w:t>
      </w:r>
      <w:r w:rsidR="005E5D58">
        <w:t>CPP</w:t>
      </w:r>
      <w:r>
        <w:t xml:space="preserve">, we generally attempt to develop a relationship between the estimated event-day </w:t>
      </w:r>
      <w:r w:rsidRPr="00CD0C19">
        <w:rPr>
          <w:i/>
        </w:rPr>
        <w:t>ex-post</w:t>
      </w:r>
      <w:r>
        <w:t xml:space="preserve"> load impacts and the weather conditions that held on those days. We then use that relationship to produce weather-sensitive </w:t>
      </w:r>
      <w:r w:rsidRPr="00CD0C19">
        <w:rPr>
          <w:i/>
        </w:rPr>
        <w:t>ex-ante</w:t>
      </w:r>
      <w:r>
        <w:t xml:space="preserve"> load impacts for the relevant weather scenarios.</w:t>
      </w:r>
      <w:r w:rsidR="000859CE">
        <w:t xml:space="preserve"> In 2017</w:t>
      </w:r>
      <w:r>
        <w:t xml:space="preserve"> </w:t>
      </w:r>
      <w:r w:rsidR="000859CE">
        <w:t>SDG&amp;E called three</w:t>
      </w:r>
      <w:r>
        <w:t xml:space="preserve"> RYU/CPP</w:t>
      </w:r>
      <w:r w:rsidR="000859CE">
        <w:t xml:space="preserve"> events</w:t>
      </w:r>
      <w:r>
        <w:t>,</w:t>
      </w:r>
      <w:r w:rsidR="000859CE">
        <w:t xml:space="preserve"> which means</w:t>
      </w:r>
      <w:r>
        <w:t xml:space="preserve"> we have </w:t>
      </w:r>
      <w:r w:rsidR="000859CE">
        <w:t>three</w:t>
      </w:r>
      <w:r>
        <w:t xml:space="preserve"> event</w:t>
      </w:r>
      <w:r w:rsidR="000859CE">
        <w:t>s</w:t>
      </w:r>
      <w:r>
        <w:t xml:space="preserve"> on which to base </w:t>
      </w:r>
      <w:r w:rsidR="00D67D3B">
        <w:t xml:space="preserve">the </w:t>
      </w:r>
      <w:r w:rsidR="00D67D3B" w:rsidRPr="00D67D3B">
        <w:rPr>
          <w:i/>
        </w:rPr>
        <w:t>ex-ante</w:t>
      </w:r>
      <w:r w:rsidR="00D67D3B">
        <w:t xml:space="preserve"> </w:t>
      </w:r>
      <w:r>
        <w:t>forecasts</w:t>
      </w:r>
      <w:r w:rsidR="00D67D3B">
        <w:t xml:space="preserve">. We determined that this provided too few observations on the relationship between load impacts and weather to be able to reliably produce a weather-dependent forecast (particularly since one of the event days took place on a weekend). Therefore, </w:t>
      </w:r>
      <w:r w:rsidR="00064947">
        <w:t xml:space="preserve">we use the percentage load impact for the </w:t>
      </w:r>
      <w:r w:rsidR="0050472E">
        <w:t xml:space="preserve">average weekday event </w:t>
      </w:r>
      <w:r w:rsidR="00064947">
        <w:t xml:space="preserve">to simulate the </w:t>
      </w:r>
      <w:r w:rsidR="00064947" w:rsidRPr="00237521">
        <w:rPr>
          <w:i/>
        </w:rPr>
        <w:t>ex-ante</w:t>
      </w:r>
      <w:r w:rsidR="00064947">
        <w:t xml:space="preserve"> CPP load impact.</w:t>
      </w:r>
      <w:r>
        <w:t xml:space="preserve"> </w:t>
      </w:r>
      <w:r w:rsidR="000859CE">
        <w:t>W</w:t>
      </w:r>
      <w:r>
        <w:t xml:space="preserve">e develop </w:t>
      </w:r>
      <w:r w:rsidR="00064947">
        <w:t xml:space="preserve">CPP </w:t>
      </w:r>
      <w:r>
        <w:t xml:space="preserve">load impacts for different weather scenarios by applying the estimated percentage load impact from the </w:t>
      </w:r>
      <w:r w:rsidRPr="00CD0C19">
        <w:rPr>
          <w:i/>
        </w:rPr>
        <w:t>ex-post</w:t>
      </w:r>
      <w:r>
        <w:t xml:space="preserve"> analysis to weather-sensitive reference loads.</w:t>
      </w:r>
      <w:r w:rsidR="0067419C">
        <w:t xml:space="preserve"> </w:t>
      </w:r>
    </w:p>
    <w:p w14:paraId="5401F5FE" w14:textId="3E4DD4DC" w:rsidR="007C042A" w:rsidRDefault="00D67D3B" w:rsidP="00095AB1">
      <w:pPr>
        <w:spacing w:after="120"/>
      </w:pPr>
      <w:r>
        <w:t xml:space="preserve">Beginning in December 1, 2017, </w:t>
      </w:r>
      <w:r w:rsidR="006A779E">
        <w:t>SDG&amp;E change</w:t>
      </w:r>
      <w:r>
        <w:t xml:space="preserve">d its </w:t>
      </w:r>
      <w:r w:rsidR="006A779E">
        <w:t>CPP</w:t>
      </w:r>
      <w:r w:rsidR="00FB19FC">
        <w:t xml:space="preserve"> event hours</w:t>
      </w:r>
      <w:r w:rsidR="006A779E">
        <w:t xml:space="preserve">, reducing the seven-hour event window of 11:00 a.m. to 6:00 p.m. (HE 12-18) to a four-hour event widow of 2:00 to </w:t>
      </w:r>
      <w:r w:rsidR="00812A77">
        <w:t>6</w:t>
      </w:r>
      <w:r w:rsidR="006A779E">
        <w:t xml:space="preserve">:00 p.m. (HE 15-18). In order to apply </w:t>
      </w:r>
      <w:r w:rsidR="006A779E">
        <w:rPr>
          <w:i/>
        </w:rPr>
        <w:t xml:space="preserve">ex-post </w:t>
      </w:r>
      <w:r w:rsidR="006A779E">
        <w:t xml:space="preserve">load impacts that correspond to the updated CPP event hours, </w:t>
      </w:r>
      <w:r w:rsidR="00FB19FC">
        <w:t xml:space="preserve">we first categorize each hour of the day </w:t>
      </w:r>
      <w:r w:rsidR="005947EF">
        <w:t xml:space="preserve">with respect to the old and updated CPP event hours. Table 6.1 summarizes our categorization of each hour, with the </w:t>
      </w:r>
      <w:r w:rsidR="005947EF">
        <w:rPr>
          <w:i/>
        </w:rPr>
        <w:t xml:space="preserve">ex-post </w:t>
      </w:r>
      <w:r w:rsidR="005947EF">
        <w:t xml:space="preserve">column representing the old event hours and the </w:t>
      </w:r>
      <w:r w:rsidR="005947EF">
        <w:rPr>
          <w:i/>
        </w:rPr>
        <w:t xml:space="preserve">ex-ante </w:t>
      </w:r>
      <w:r w:rsidR="005947EF">
        <w:t xml:space="preserve">column representing the new CPP event window. The </w:t>
      </w:r>
      <w:r w:rsidR="005947EF">
        <w:rPr>
          <w:i/>
        </w:rPr>
        <w:t xml:space="preserve">ex-post </w:t>
      </w:r>
      <w:r w:rsidR="005947EF">
        <w:t xml:space="preserve">reference loads and load impacts are </w:t>
      </w:r>
      <w:r w:rsidR="006A779E">
        <w:t>average</w:t>
      </w:r>
      <w:r w:rsidR="005947EF">
        <w:t xml:space="preserve">d over these periods to </w:t>
      </w:r>
      <w:r w:rsidR="00FB19FC">
        <w:t xml:space="preserve">obtain </w:t>
      </w:r>
      <w:r w:rsidR="005947EF">
        <w:t xml:space="preserve">percentage </w:t>
      </w:r>
      <w:r w:rsidR="00FB19FC">
        <w:t>load impact</w:t>
      </w:r>
      <w:r w:rsidR="005947EF">
        <w:t xml:space="preserve">s, which are then applied to </w:t>
      </w:r>
      <w:r w:rsidR="00FB19FC">
        <w:rPr>
          <w:i/>
        </w:rPr>
        <w:t xml:space="preserve">ex-ante </w:t>
      </w:r>
      <w:r w:rsidR="00FB19FC">
        <w:t xml:space="preserve">reference loads during the </w:t>
      </w:r>
      <w:r w:rsidR="005947EF">
        <w:t xml:space="preserve">corresponding categorized period to calculate the </w:t>
      </w:r>
      <w:r w:rsidR="005947EF">
        <w:rPr>
          <w:i/>
        </w:rPr>
        <w:t xml:space="preserve">ex-ante </w:t>
      </w:r>
      <w:r w:rsidR="005947EF">
        <w:t>load impacts.</w:t>
      </w:r>
      <w:r w:rsidR="00D76587">
        <w:t xml:space="preserve"> For example, the percentage load impact for the hour before the event in </w:t>
      </w:r>
      <w:r w:rsidR="00D76587">
        <w:rPr>
          <w:i/>
        </w:rPr>
        <w:t>ex-post</w:t>
      </w:r>
      <w:r w:rsidR="00D76587">
        <w:t xml:space="preserve"> (HE 11) is applied the </w:t>
      </w:r>
      <w:r w:rsidR="00D76587">
        <w:rPr>
          <w:i/>
        </w:rPr>
        <w:t xml:space="preserve">ex-ante </w:t>
      </w:r>
      <w:r w:rsidR="00D76587">
        <w:t xml:space="preserve">reference load for the hour before the event in </w:t>
      </w:r>
      <w:r w:rsidR="00D76587">
        <w:rPr>
          <w:i/>
        </w:rPr>
        <w:t xml:space="preserve">ex-ante </w:t>
      </w:r>
      <w:r w:rsidR="00D76587">
        <w:t>(HE 14).</w:t>
      </w:r>
    </w:p>
    <w:p w14:paraId="0A301B63" w14:textId="55D3B640" w:rsidR="006A779E" w:rsidRPr="006A779E" w:rsidRDefault="006A779E" w:rsidP="00237521">
      <w:pPr>
        <w:pStyle w:val="TableCaption"/>
        <w:keepNext/>
      </w:pPr>
      <w:bookmarkStart w:id="100" w:name="_Toc509576800"/>
      <w:r>
        <w:lastRenderedPageBreak/>
        <w:t xml:space="preserve">Table 6.1: </w:t>
      </w:r>
      <w:r w:rsidR="00BB5846">
        <w:t>Hourly Categorization of Periods Relating to Change</w:t>
      </w:r>
      <w:r w:rsidR="00610499">
        <w:t>s</w:t>
      </w:r>
      <w:r w:rsidR="00BB5846">
        <w:t xml:space="preserve"> in CPP Event Window</w:t>
      </w:r>
      <w:bookmarkEnd w:id="100"/>
    </w:p>
    <w:tbl>
      <w:tblPr>
        <w:tblW w:w="5000" w:type="dxa"/>
        <w:jc w:val="center"/>
        <w:tblLook w:val="04A0" w:firstRow="1" w:lastRow="0" w:firstColumn="1" w:lastColumn="0" w:noHBand="0" w:noVBand="1"/>
      </w:tblPr>
      <w:tblGrid>
        <w:gridCol w:w="960"/>
        <w:gridCol w:w="2020"/>
        <w:gridCol w:w="2020"/>
      </w:tblGrid>
      <w:tr w:rsidR="005808F4" w:rsidRPr="005808F4" w14:paraId="6511A331" w14:textId="77777777" w:rsidTr="0010027E">
        <w:trPr>
          <w:trHeight w:val="255"/>
          <w:jc w:val="center"/>
        </w:trPr>
        <w:tc>
          <w:tcPr>
            <w:tcW w:w="960" w:type="dxa"/>
            <w:tcBorders>
              <w:top w:val="single" w:sz="4" w:space="0" w:color="000000"/>
              <w:left w:val="single" w:sz="4" w:space="0" w:color="000000"/>
              <w:bottom w:val="single" w:sz="4" w:space="0" w:color="000000"/>
              <w:right w:val="nil"/>
            </w:tcBorders>
            <w:shd w:val="clear" w:color="auto" w:fill="0C2577"/>
            <w:noWrap/>
            <w:vAlign w:val="center"/>
            <w:hideMark/>
          </w:tcPr>
          <w:p w14:paraId="1C676FD4" w14:textId="77777777" w:rsidR="005808F4" w:rsidRPr="005808F4" w:rsidRDefault="005808F4" w:rsidP="00237521">
            <w:pPr>
              <w:keepNext/>
              <w:jc w:val="center"/>
              <w:rPr>
                <w:rFonts w:ascii="Arial" w:hAnsi="Arial" w:cs="Arial"/>
                <w:b/>
                <w:bCs/>
                <w:color w:val="FFFFFF"/>
                <w:sz w:val="20"/>
                <w:szCs w:val="20"/>
              </w:rPr>
            </w:pPr>
            <w:r w:rsidRPr="005808F4">
              <w:rPr>
                <w:rFonts w:ascii="Arial" w:hAnsi="Arial" w:cs="Arial"/>
                <w:b/>
                <w:bCs/>
                <w:color w:val="FFFFFF"/>
                <w:sz w:val="20"/>
                <w:szCs w:val="20"/>
              </w:rPr>
              <w:t>Hour</w:t>
            </w:r>
          </w:p>
        </w:tc>
        <w:tc>
          <w:tcPr>
            <w:tcW w:w="2020" w:type="dxa"/>
            <w:tcBorders>
              <w:top w:val="single" w:sz="4" w:space="0" w:color="000000"/>
              <w:left w:val="single" w:sz="4" w:space="0" w:color="FFFFFF"/>
              <w:bottom w:val="single" w:sz="4" w:space="0" w:color="000000"/>
              <w:right w:val="single" w:sz="4" w:space="0" w:color="FFFFFF"/>
            </w:tcBorders>
            <w:shd w:val="clear" w:color="auto" w:fill="0C2577"/>
            <w:noWrap/>
            <w:vAlign w:val="bottom"/>
            <w:hideMark/>
          </w:tcPr>
          <w:p w14:paraId="4739E544" w14:textId="77777777" w:rsidR="005808F4" w:rsidRPr="005808F4" w:rsidRDefault="005808F4" w:rsidP="00237521">
            <w:pPr>
              <w:keepNext/>
              <w:jc w:val="center"/>
              <w:rPr>
                <w:rFonts w:ascii="Arial" w:hAnsi="Arial" w:cs="Arial"/>
                <w:b/>
                <w:bCs/>
                <w:color w:val="FFFFFF"/>
                <w:sz w:val="20"/>
                <w:szCs w:val="20"/>
              </w:rPr>
            </w:pPr>
            <w:r w:rsidRPr="005808F4">
              <w:rPr>
                <w:rFonts w:ascii="Arial" w:hAnsi="Arial" w:cs="Arial"/>
                <w:b/>
                <w:bCs/>
                <w:color w:val="FFFFFF"/>
                <w:sz w:val="20"/>
                <w:szCs w:val="20"/>
              </w:rPr>
              <w:t>Ex-Post</w:t>
            </w:r>
          </w:p>
        </w:tc>
        <w:tc>
          <w:tcPr>
            <w:tcW w:w="2020" w:type="dxa"/>
            <w:tcBorders>
              <w:top w:val="single" w:sz="4" w:space="0" w:color="000000"/>
              <w:left w:val="nil"/>
              <w:bottom w:val="single" w:sz="4" w:space="0" w:color="000000"/>
              <w:right w:val="single" w:sz="4" w:space="0" w:color="000000"/>
            </w:tcBorders>
            <w:shd w:val="clear" w:color="auto" w:fill="0C2577"/>
            <w:noWrap/>
            <w:vAlign w:val="bottom"/>
            <w:hideMark/>
          </w:tcPr>
          <w:p w14:paraId="131D45F6" w14:textId="77777777" w:rsidR="005808F4" w:rsidRPr="005808F4" w:rsidRDefault="005808F4" w:rsidP="00237521">
            <w:pPr>
              <w:keepNext/>
              <w:jc w:val="center"/>
              <w:rPr>
                <w:rFonts w:ascii="Arial" w:hAnsi="Arial" w:cs="Arial"/>
                <w:b/>
                <w:bCs/>
                <w:color w:val="FFFFFF"/>
                <w:sz w:val="20"/>
                <w:szCs w:val="20"/>
              </w:rPr>
            </w:pPr>
            <w:r w:rsidRPr="005808F4">
              <w:rPr>
                <w:rFonts w:ascii="Arial" w:hAnsi="Arial" w:cs="Arial"/>
                <w:b/>
                <w:bCs/>
                <w:color w:val="FFFFFF"/>
                <w:sz w:val="20"/>
                <w:szCs w:val="20"/>
              </w:rPr>
              <w:t>Ex-Ante</w:t>
            </w:r>
          </w:p>
        </w:tc>
      </w:tr>
      <w:tr w:rsidR="005808F4" w:rsidRPr="005808F4" w14:paraId="1A295CA2"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AE6ACF"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1</w:t>
            </w:r>
          </w:p>
        </w:tc>
        <w:tc>
          <w:tcPr>
            <w:tcW w:w="2020" w:type="dxa"/>
            <w:vMerge w:val="restart"/>
            <w:tcBorders>
              <w:top w:val="nil"/>
              <w:left w:val="single" w:sz="4" w:space="0" w:color="auto"/>
              <w:bottom w:val="nil"/>
              <w:right w:val="single" w:sz="4" w:space="0" w:color="auto"/>
            </w:tcBorders>
            <w:shd w:val="clear" w:color="000000" w:fill="EDEDED"/>
            <w:vAlign w:val="center"/>
            <w:hideMark/>
          </w:tcPr>
          <w:p w14:paraId="6E44897F" w14:textId="62FD43E5" w:rsidR="005808F4" w:rsidRPr="005808F4" w:rsidRDefault="00522EE2" w:rsidP="00237521">
            <w:pPr>
              <w:keepNext/>
              <w:jc w:val="center"/>
              <w:rPr>
                <w:rFonts w:ascii="Arial" w:hAnsi="Arial" w:cs="Arial"/>
                <w:sz w:val="20"/>
                <w:szCs w:val="20"/>
              </w:rPr>
            </w:pPr>
            <w:r>
              <w:rPr>
                <w:rFonts w:ascii="Arial" w:hAnsi="Arial" w:cs="Arial"/>
                <w:sz w:val="20"/>
                <w:szCs w:val="20"/>
              </w:rPr>
              <w:t>beginning of event day</w:t>
            </w:r>
          </w:p>
        </w:tc>
        <w:tc>
          <w:tcPr>
            <w:tcW w:w="2020" w:type="dxa"/>
            <w:vMerge w:val="restart"/>
            <w:tcBorders>
              <w:top w:val="nil"/>
              <w:left w:val="single" w:sz="4" w:space="0" w:color="auto"/>
              <w:bottom w:val="nil"/>
              <w:right w:val="single" w:sz="4" w:space="0" w:color="auto"/>
            </w:tcBorders>
            <w:shd w:val="clear" w:color="000000" w:fill="EDEDED"/>
            <w:vAlign w:val="center"/>
            <w:hideMark/>
          </w:tcPr>
          <w:p w14:paraId="565BC88B" w14:textId="44A836C5" w:rsidR="005808F4" w:rsidRPr="005808F4" w:rsidRDefault="00522EE2" w:rsidP="00237521">
            <w:pPr>
              <w:keepNext/>
              <w:jc w:val="center"/>
              <w:rPr>
                <w:rFonts w:ascii="Arial" w:hAnsi="Arial" w:cs="Arial"/>
                <w:sz w:val="20"/>
                <w:szCs w:val="20"/>
              </w:rPr>
            </w:pPr>
            <w:r>
              <w:rPr>
                <w:rFonts w:ascii="Arial" w:hAnsi="Arial" w:cs="Arial"/>
                <w:sz w:val="20"/>
                <w:szCs w:val="20"/>
              </w:rPr>
              <w:t>beginning of event day</w:t>
            </w:r>
          </w:p>
        </w:tc>
      </w:tr>
      <w:tr w:rsidR="005808F4" w:rsidRPr="005808F4" w14:paraId="50570FE7"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FD3680D"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2</w:t>
            </w:r>
          </w:p>
        </w:tc>
        <w:tc>
          <w:tcPr>
            <w:tcW w:w="2020" w:type="dxa"/>
            <w:vMerge/>
            <w:tcBorders>
              <w:top w:val="nil"/>
              <w:left w:val="single" w:sz="4" w:space="0" w:color="auto"/>
              <w:bottom w:val="nil"/>
              <w:right w:val="single" w:sz="4" w:space="0" w:color="auto"/>
            </w:tcBorders>
            <w:vAlign w:val="center"/>
            <w:hideMark/>
          </w:tcPr>
          <w:p w14:paraId="2C4B9337" w14:textId="77777777" w:rsidR="005808F4" w:rsidRPr="005808F4" w:rsidRDefault="005808F4" w:rsidP="00237521">
            <w:pPr>
              <w:keepNext/>
              <w:rPr>
                <w:rFonts w:ascii="Arial" w:hAnsi="Arial" w:cs="Arial"/>
                <w:sz w:val="20"/>
                <w:szCs w:val="20"/>
              </w:rPr>
            </w:pPr>
          </w:p>
        </w:tc>
        <w:tc>
          <w:tcPr>
            <w:tcW w:w="2020" w:type="dxa"/>
            <w:vMerge/>
            <w:tcBorders>
              <w:top w:val="nil"/>
              <w:left w:val="single" w:sz="4" w:space="0" w:color="auto"/>
              <w:bottom w:val="nil"/>
              <w:right w:val="single" w:sz="4" w:space="0" w:color="auto"/>
            </w:tcBorders>
            <w:vAlign w:val="center"/>
            <w:hideMark/>
          </w:tcPr>
          <w:p w14:paraId="6A5B6C4F" w14:textId="77777777" w:rsidR="005808F4" w:rsidRPr="005808F4" w:rsidRDefault="005808F4" w:rsidP="00237521">
            <w:pPr>
              <w:keepNext/>
              <w:rPr>
                <w:rFonts w:ascii="Arial" w:hAnsi="Arial" w:cs="Arial"/>
                <w:sz w:val="20"/>
                <w:szCs w:val="20"/>
              </w:rPr>
            </w:pPr>
          </w:p>
        </w:tc>
      </w:tr>
      <w:tr w:rsidR="005808F4" w:rsidRPr="005808F4" w14:paraId="2F440787"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709FEC4"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3</w:t>
            </w:r>
          </w:p>
        </w:tc>
        <w:tc>
          <w:tcPr>
            <w:tcW w:w="2020" w:type="dxa"/>
            <w:vMerge/>
            <w:tcBorders>
              <w:top w:val="nil"/>
              <w:left w:val="single" w:sz="4" w:space="0" w:color="auto"/>
              <w:bottom w:val="nil"/>
              <w:right w:val="single" w:sz="4" w:space="0" w:color="auto"/>
            </w:tcBorders>
            <w:vAlign w:val="center"/>
            <w:hideMark/>
          </w:tcPr>
          <w:p w14:paraId="157F639F" w14:textId="77777777" w:rsidR="005808F4" w:rsidRPr="005808F4" w:rsidRDefault="005808F4" w:rsidP="00237521">
            <w:pPr>
              <w:keepNext/>
              <w:rPr>
                <w:rFonts w:ascii="Arial" w:hAnsi="Arial" w:cs="Arial"/>
                <w:sz w:val="20"/>
                <w:szCs w:val="20"/>
              </w:rPr>
            </w:pPr>
          </w:p>
        </w:tc>
        <w:tc>
          <w:tcPr>
            <w:tcW w:w="2020" w:type="dxa"/>
            <w:vMerge/>
            <w:tcBorders>
              <w:top w:val="nil"/>
              <w:left w:val="single" w:sz="4" w:space="0" w:color="auto"/>
              <w:bottom w:val="nil"/>
              <w:right w:val="single" w:sz="4" w:space="0" w:color="auto"/>
            </w:tcBorders>
            <w:vAlign w:val="center"/>
            <w:hideMark/>
          </w:tcPr>
          <w:p w14:paraId="531D8A00" w14:textId="77777777" w:rsidR="005808F4" w:rsidRPr="005808F4" w:rsidRDefault="005808F4" w:rsidP="00237521">
            <w:pPr>
              <w:keepNext/>
              <w:rPr>
                <w:rFonts w:ascii="Arial" w:hAnsi="Arial" w:cs="Arial"/>
                <w:sz w:val="20"/>
                <w:szCs w:val="20"/>
              </w:rPr>
            </w:pPr>
          </w:p>
        </w:tc>
      </w:tr>
      <w:tr w:rsidR="005808F4" w:rsidRPr="005808F4" w14:paraId="298BA7CA"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FE1A49A"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4</w:t>
            </w:r>
          </w:p>
        </w:tc>
        <w:tc>
          <w:tcPr>
            <w:tcW w:w="2020" w:type="dxa"/>
            <w:vMerge/>
            <w:tcBorders>
              <w:top w:val="nil"/>
              <w:left w:val="single" w:sz="4" w:space="0" w:color="auto"/>
              <w:bottom w:val="nil"/>
              <w:right w:val="single" w:sz="4" w:space="0" w:color="auto"/>
            </w:tcBorders>
            <w:vAlign w:val="center"/>
            <w:hideMark/>
          </w:tcPr>
          <w:p w14:paraId="6E748AA0" w14:textId="77777777" w:rsidR="005808F4" w:rsidRPr="005808F4" w:rsidRDefault="005808F4" w:rsidP="00237521">
            <w:pPr>
              <w:keepNext/>
              <w:rPr>
                <w:rFonts w:ascii="Arial" w:hAnsi="Arial" w:cs="Arial"/>
                <w:sz w:val="20"/>
                <w:szCs w:val="20"/>
              </w:rPr>
            </w:pPr>
          </w:p>
        </w:tc>
        <w:tc>
          <w:tcPr>
            <w:tcW w:w="2020" w:type="dxa"/>
            <w:vMerge/>
            <w:tcBorders>
              <w:top w:val="nil"/>
              <w:left w:val="single" w:sz="4" w:space="0" w:color="auto"/>
              <w:bottom w:val="nil"/>
              <w:right w:val="single" w:sz="4" w:space="0" w:color="auto"/>
            </w:tcBorders>
            <w:vAlign w:val="center"/>
            <w:hideMark/>
          </w:tcPr>
          <w:p w14:paraId="07F6FE6F" w14:textId="77777777" w:rsidR="005808F4" w:rsidRPr="005808F4" w:rsidRDefault="005808F4" w:rsidP="00237521">
            <w:pPr>
              <w:keepNext/>
              <w:rPr>
                <w:rFonts w:ascii="Arial" w:hAnsi="Arial" w:cs="Arial"/>
                <w:sz w:val="20"/>
                <w:szCs w:val="20"/>
              </w:rPr>
            </w:pPr>
          </w:p>
        </w:tc>
      </w:tr>
      <w:tr w:rsidR="005808F4" w:rsidRPr="005808F4" w14:paraId="73A776F8"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DB0C473"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5</w:t>
            </w:r>
          </w:p>
        </w:tc>
        <w:tc>
          <w:tcPr>
            <w:tcW w:w="2020" w:type="dxa"/>
            <w:vMerge/>
            <w:tcBorders>
              <w:top w:val="nil"/>
              <w:left w:val="single" w:sz="4" w:space="0" w:color="auto"/>
              <w:bottom w:val="nil"/>
              <w:right w:val="single" w:sz="4" w:space="0" w:color="auto"/>
            </w:tcBorders>
            <w:vAlign w:val="center"/>
            <w:hideMark/>
          </w:tcPr>
          <w:p w14:paraId="316D6857" w14:textId="77777777" w:rsidR="005808F4" w:rsidRPr="005808F4" w:rsidRDefault="005808F4" w:rsidP="00237521">
            <w:pPr>
              <w:keepNext/>
              <w:rPr>
                <w:rFonts w:ascii="Arial" w:hAnsi="Arial" w:cs="Arial"/>
                <w:sz w:val="20"/>
                <w:szCs w:val="20"/>
              </w:rPr>
            </w:pPr>
          </w:p>
        </w:tc>
        <w:tc>
          <w:tcPr>
            <w:tcW w:w="2020" w:type="dxa"/>
            <w:vMerge/>
            <w:tcBorders>
              <w:top w:val="nil"/>
              <w:left w:val="single" w:sz="4" w:space="0" w:color="auto"/>
              <w:bottom w:val="nil"/>
              <w:right w:val="single" w:sz="4" w:space="0" w:color="auto"/>
            </w:tcBorders>
            <w:vAlign w:val="center"/>
            <w:hideMark/>
          </w:tcPr>
          <w:p w14:paraId="4D488F1F" w14:textId="77777777" w:rsidR="005808F4" w:rsidRPr="005808F4" w:rsidRDefault="005808F4" w:rsidP="00237521">
            <w:pPr>
              <w:keepNext/>
              <w:rPr>
                <w:rFonts w:ascii="Arial" w:hAnsi="Arial" w:cs="Arial"/>
                <w:sz w:val="20"/>
                <w:szCs w:val="20"/>
              </w:rPr>
            </w:pPr>
          </w:p>
        </w:tc>
      </w:tr>
      <w:tr w:rsidR="005808F4" w:rsidRPr="005808F4" w14:paraId="4850E4AC"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A8BF8B5"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6</w:t>
            </w:r>
          </w:p>
        </w:tc>
        <w:tc>
          <w:tcPr>
            <w:tcW w:w="2020" w:type="dxa"/>
            <w:vMerge/>
            <w:tcBorders>
              <w:top w:val="nil"/>
              <w:left w:val="single" w:sz="4" w:space="0" w:color="auto"/>
              <w:bottom w:val="nil"/>
              <w:right w:val="single" w:sz="4" w:space="0" w:color="auto"/>
            </w:tcBorders>
            <w:vAlign w:val="center"/>
            <w:hideMark/>
          </w:tcPr>
          <w:p w14:paraId="66D13841" w14:textId="77777777" w:rsidR="005808F4" w:rsidRPr="005808F4" w:rsidRDefault="005808F4" w:rsidP="00237521">
            <w:pPr>
              <w:keepNext/>
              <w:rPr>
                <w:rFonts w:ascii="Arial" w:hAnsi="Arial" w:cs="Arial"/>
                <w:sz w:val="20"/>
                <w:szCs w:val="20"/>
              </w:rPr>
            </w:pPr>
          </w:p>
        </w:tc>
        <w:tc>
          <w:tcPr>
            <w:tcW w:w="2020" w:type="dxa"/>
            <w:vMerge/>
            <w:tcBorders>
              <w:top w:val="nil"/>
              <w:left w:val="single" w:sz="4" w:space="0" w:color="auto"/>
              <w:bottom w:val="nil"/>
              <w:right w:val="single" w:sz="4" w:space="0" w:color="auto"/>
            </w:tcBorders>
            <w:vAlign w:val="center"/>
            <w:hideMark/>
          </w:tcPr>
          <w:p w14:paraId="0368033D" w14:textId="77777777" w:rsidR="005808F4" w:rsidRPr="005808F4" w:rsidRDefault="005808F4" w:rsidP="00237521">
            <w:pPr>
              <w:keepNext/>
              <w:rPr>
                <w:rFonts w:ascii="Arial" w:hAnsi="Arial" w:cs="Arial"/>
                <w:sz w:val="20"/>
                <w:szCs w:val="20"/>
              </w:rPr>
            </w:pPr>
          </w:p>
        </w:tc>
      </w:tr>
      <w:tr w:rsidR="005808F4" w:rsidRPr="005808F4" w14:paraId="36BAD2B2"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2616616"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7</w:t>
            </w:r>
          </w:p>
        </w:tc>
        <w:tc>
          <w:tcPr>
            <w:tcW w:w="2020" w:type="dxa"/>
            <w:vMerge/>
            <w:tcBorders>
              <w:top w:val="nil"/>
              <w:left w:val="single" w:sz="4" w:space="0" w:color="auto"/>
              <w:bottom w:val="nil"/>
              <w:right w:val="single" w:sz="4" w:space="0" w:color="auto"/>
            </w:tcBorders>
            <w:vAlign w:val="center"/>
            <w:hideMark/>
          </w:tcPr>
          <w:p w14:paraId="4D963E65" w14:textId="77777777" w:rsidR="005808F4" w:rsidRPr="005808F4" w:rsidRDefault="005808F4" w:rsidP="00237521">
            <w:pPr>
              <w:keepNext/>
              <w:rPr>
                <w:rFonts w:ascii="Arial" w:hAnsi="Arial" w:cs="Arial"/>
                <w:sz w:val="20"/>
                <w:szCs w:val="20"/>
              </w:rPr>
            </w:pPr>
          </w:p>
        </w:tc>
        <w:tc>
          <w:tcPr>
            <w:tcW w:w="2020" w:type="dxa"/>
            <w:vMerge/>
            <w:tcBorders>
              <w:top w:val="nil"/>
              <w:left w:val="single" w:sz="4" w:space="0" w:color="auto"/>
              <w:bottom w:val="nil"/>
              <w:right w:val="single" w:sz="4" w:space="0" w:color="auto"/>
            </w:tcBorders>
            <w:vAlign w:val="center"/>
            <w:hideMark/>
          </w:tcPr>
          <w:p w14:paraId="17E491D2" w14:textId="77777777" w:rsidR="005808F4" w:rsidRPr="005808F4" w:rsidRDefault="005808F4" w:rsidP="00237521">
            <w:pPr>
              <w:keepNext/>
              <w:rPr>
                <w:rFonts w:ascii="Arial" w:hAnsi="Arial" w:cs="Arial"/>
                <w:sz w:val="20"/>
                <w:szCs w:val="20"/>
              </w:rPr>
            </w:pPr>
          </w:p>
        </w:tc>
      </w:tr>
      <w:tr w:rsidR="005808F4" w:rsidRPr="005808F4" w14:paraId="3DB1FDD3"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831D35A"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8</w:t>
            </w:r>
          </w:p>
        </w:tc>
        <w:tc>
          <w:tcPr>
            <w:tcW w:w="2020" w:type="dxa"/>
            <w:vMerge/>
            <w:tcBorders>
              <w:top w:val="nil"/>
              <w:left w:val="single" w:sz="4" w:space="0" w:color="auto"/>
              <w:bottom w:val="nil"/>
              <w:right w:val="single" w:sz="4" w:space="0" w:color="auto"/>
            </w:tcBorders>
            <w:vAlign w:val="center"/>
            <w:hideMark/>
          </w:tcPr>
          <w:p w14:paraId="6A85F19E" w14:textId="77777777" w:rsidR="005808F4" w:rsidRPr="005808F4" w:rsidRDefault="005808F4" w:rsidP="00237521">
            <w:pPr>
              <w:keepNext/>
              <w:rPr>
                <w:rFonts w:ascii="Arial" w:hAnsi="Arial" w:cs="Arial"/>
                <w:sz w:val="20"/>
                <w:szCs w:val="20"/>
              </w:rPr>
            </w:pPr>
          </w:p>
        </w:tc>
        <w:tc>
          <w:tcPr>
            <w:tcW w:w="2020" w:type="dxa"/>
            <w:vMerge/>
            <w:tcBorders>
              <w:top w:val="nil"/>
              <w:left w:val="single" w:sz="4" w:space="0" w:color="auto"/>
              <w:bottom w:val="nil"/>
              <w:right w:val="single" w:sz="4" w:space="0" w:color="auto"/>
            </w:tcBorders>
            <w:vAlign w:val="center"/>
            <w:hideMark/>
          </w:tcPr>
          <w:p w14:paraId="2F933701" w14:textId="77777777" w:rsidR="005808F4" w:rsidRPr="005808F4" w:rsidRDefault="005808F4" w:rsidP="00237521">
            <w:pPr>
              <w:keepNext/>
              <w:rPr>
                <w:rFonts w:ascii="Arial" w:hAnsi="Arial" w:cs="Arial"/>
                <w:sz w:val="20"/>
                <w:szCs w:val="20"/>
              </w:rPr>
            </w:pPr>
          </w:p>
        </w:tc>
      </w:tr>
      <w:tr w:rsidR="005808F4" w:rsidRPr="005808F4" w14:paraId="6331C210"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0636709"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9</w:t>
            </w:r>
          </w:p>
        </w:tc>
        <w:tc>
          <w:tcPr>
            <w:tcW w:w="2020" w:type="dxa"/>
            <w:vMerge/>
            <w:tcBorders>
              <w:top w:val="nil"/>
              <w:left w:val="single" w:sz="4" w:space="0" w:color="auto"/>
              <w:bottom w:val="nil"/>
              <w:right w:val="single" w:sz="4" w:space="0" w:color="auto"/>
            </w:tcBorders>
            <w:vAlign w:val="center"/>
            <w:hideMark/>
          </w:tcPr>
          <w:p w14:paraId="3074A6E0" w14:textId="77777777" w:rsidR="005808F4" w:rsidRPr="005808F4" w:rsidRDefault="005808F4" w:rsidP="00237521">
            <w:pPr>
              <w:keepNext/>
              <w:rPr>
                <w:rFonts w:ascii="Arial" w:hAnsi="Arial" w:cs="Arial"/>
                <w:sz w:val="20"/>
                <w:szCs w:val="20"/>
              </w:rPr>
            </w:pPr>
          </w:p>
        </w:tc>
        <w:tc>
          <w:tcPr>
            <w:tcW w:w="2020" w:type="dxa"/>
            <w:vMerge/>
            <w:tcBorders>
              <w:top w:val="nil"/>
              <w:left w:val="single" w:sz="4" w:space="0" w:color="auto"/>
              <w:bottom w:val="nil"/>
              <w:right w:val="single" w:sz="4" w:space="0" w:color="auto"/>
            </w:tcBorders>
            <w:vAlign w:val="center"/>
            <w:hideMark/>
          </w:tcPr>
          <w:p w14:paraId="0632BAB7" w14:textId="77777777" w:rsidR="005808F4" w:rsidRPr="005808F4" w:rsidRDefault="005808F4" w:rsidP="00237521">
            <w:pPr>
              <w:keepNext/>
              <w:rPr>
                <w:rFonts w:ascii="Arial" w:hAnsi="Arial" w:cs="Arial"/>
                <w:sz w:val="20"/>
                <w:szCs w:val="20"/>
              </w:rPr>
            </w:pPr>
          </w:p>
        </w:tc>
      </w:tr>
      <w:tr w:rsidR="005808F4" w:rsidRPr="005808F4" w14:paraId="5CB50B0D"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6EED9E0"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10</w:t>
            </w:r>
          </w:p>
        </w:tc>
        <w:tc>
          <w:tcPr>
            <w:tcW w:w="2020" w:type="dxa"/>
            <w:vMerge/>
            <w:tcBorders>
              <w:top w:val="nil"/>
              <w:left w:val="single" w:sz="4" w:space="0" w:color="auto"/>
              <w:bottom w:val="nil"/>
              <w:right w:val="single" w:sz="4" w:space="0" w:color="auto"/>
            </w:tcBorders>
            <w:vAlign w:val="center"/>
            <w:hideMark/>
          </w:tcPr>
          <w:p w14:paraId="142915BC" w14:textId="77777777" w:rsidR="005808F4" w:rsidRPr="005808F4" w:rsidRDefault="005808F4" w:rsidP="00237521">
            <w:pPr>
              <w:keepNext/>
              <w:rPr>
                <w:rFonts w:ascii="Arial" w:hAnsi="Arial" w:cs="Arial"/>
                <w:sz w:val="20"/>
                <w:szCs w:val="20"/>
              </w:rPr>
            </w:pPr>
          </w:p>
        </w:tc>
        <w:tc>
          <w:tcPr>
            <w:tcW w:w="2020" w:type="dxa"/>
            <w:vMerge/>
            <w:tcBorders>
              <w:top w:val="nil"/>
              <w:left w:val="single" w:sz="4" w:space="0" w:color="auto"/>
              <w:bottom w:val="nil"/>
              <w:right w:val="single" w:sz="4" w:space="0" w:color="auto"/>
            </w:tcBorders>
            <w:vAlign w:val="center"/>
            <w:hideMark/>
          </w:tcPr>
          <w:p w14:paraId="073378FC" w14:textId="77777777" w:rsidR="005808F4" w:rsidRPr="005808F4" w:rsidRDefault="005808F4" w:rsidP="00237521">
            <w:pPr>
              <w:keepNext/>
              <w:rPr>
                <w:rFonts w:ascii="Arial" w:hAnsi="Arial" w:cs="Arial"/>
                <w:sz w:val="20"/>
                <w:szCs w:val="20"/>
              </w:rPr>
            </w:pPr>
          </w:p>
        </w:tc>
      </w:tr>
      <w:tr w:rsidR="005808F4" w:rsidRPr="005808F4" w14:paraId="3DA4660A"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2875D1B5"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11</w:t>
            </w:r>
          </w:p>
        </w:tc>
        <w:tc>
          <w:tcPr>
            <w:tcW w:w="2020" w:type="dxa"/>
            <w:tcBorders>
              <w:top w:val="nil"/>
              <w:left w:val="nil"/>
              <w:bottom w:val="nil"/>
              <w:right w:val="single" w:sz="4" w:space="0" w:color="auto"/>
            </w:tcBorders>
            <w:shd w:val="clear" w:color="000000" w:fill="C9C9C9"/>
            <w:vAlign w:val="center"/>
            <w:hideMark/>
          </w:tcPr>
          <w:p w14:paraId="4AFADA61"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pre-event hour</w:t>
            </w:r>
          </w:p>
        </w:tc>
        <w:tc>
          <w:tcPr>
            <w:tcW w:w="2020" w:type="dxa"/>
            <w:vMerge/>
            <w:tcBorders>
              <w:top w:val="nil"/>
              <w:left w:val="single" w:sz="4" w:space="0" w:color="auto"/>
              <w:bottom w:val="nil"/>
              <w:right w:val="single" w:sz="4" w:space="0" w:color="auto"/>
            </w:tcBorders>
            <w:vAlign w:val="center"/>
            <w:hideMark/>
          </w:tcPr>
          <w:p w14:paraId="14989BF9" w14:textId="77777777" w:rsidR="005808F4" w:rsidRPr="005808F4" w:rsidRDefault="005808F4" w:rsidP="00237521">
            <w:pPr>
              <w:keepNext/>
              <w:rPr>
                <w:rFonts w:ascii="Arial" w:hAnsi="Arial" w:cs="Arial"/>
                <w:sz w:val="20"/>
                <w:szCs w:val="20"/>
              </w:rPr>
            </w:pPr>
          </w:p>
        </w:tc>
      </w:tr>
      <w:tr w:rsidR="005808F4" w:rsidRPr="005808F4" w14:paraId="6870B3FC"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6EB6B84"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12</w:t>
            </w:r>
          </w:p>
        </w:tc>
        <w:tc>
          <w:tcPr>
            <w:tcW w:w="2020" w:type="dxa"/>
            <w:vMerge w:val="restart"/>
            <w:tcBorders>
              <w:top w:val="nil"/>
              <w:left w:val="single" w:sz="4" w:space="0" w:color="auto"/>
              <w:bottom w:val="nil"/>
              <w:right w:val="single" w:sz="4" w:space="0" w:color="auto"/>
            </w:tcBorders>
            <w:shd w:val="clear" w:color="000000" w:fill="BDD7EE"/>
            <w:vAlign w:val="center"/>
            <w:hideMark/>
          </w:tcPr>
          <w:p w14:paraId="708897A5"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beginning of event</w:t>
            </w:r>
          </w:p>
        </w:tc>
        <w:tc>
          <w:tcPr>
            <w:tcW w:w="2020" w:type="dxa"/>
            <w:vMerge/>
            <w:tcBorders>
              <w:top w:val="nil"/>
              <w:left w:val="single" w:sz="4" w:space="0" w:color="auto"/>
              <w:bottom w:val="nil"/>
              <w:right w:val="single" w:sz="4" w:space="0" w:color="auto"/>
            </w:tcBorders>
            <w:vAlign w:val="center"/>
            <w:hideMark/>
          </w:tcPr>
          <w:p w14:paraId="432E75F9" w14:textId="77777777" w:rsidR="005808F4" w:rsidRPr="005808F4" w:rsidRDefault="005808F4" w:rsidP="00237521">
            <w:pPr>
              <w:keepNext/>
              <w:rPr>
                <w:rFonts w:ascii="Arial" w:hAnsi="Arial" w:cs="Arial"/>
                <w:sz w:val="20"/>
                <w:szCs w:val="20"/>
              </w:rPr>
            </w:pPr>
          </w:p>
        </w:tc>
      </w:tr>
      <w:tr w:rsidR="005808F4" w:rsidRPr="005808F4" w14:paraId="699D528C"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46B5C548"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13</w:t>
            </w:r>
          </w:p>
        </w:tc>
        <w:tc>
          <w:tcPr>
            <w:tcW w:w="2020" w:type="dxa"/>
            <w:vMerge/>
            <w:tcBorders>
              <w:top w:val="nil"/>
              <w:left w:val="single" w:sz="4" w:space="0" w:color="auto"/>
              <w:bottom w:val="nil"/>
              <w:right w:val="single" w:sz="4" w:space="0" w:color="auto"/>
            </w:tcBorders>
            <w:vAlign w:val="center"/>
            <w:hideMark/>
          </w:tcPr>
          <w:p w14:paraId="465E22DD" w14:textId="77777777" w:rsidR="005808F4" w:rsidRPr="005808F4" w:rsidRDefault="005808F4" w:rsidP="00237521">
            <w:pPr>
              <w:keepNext/>
              <w:rPr>
                <w:rFonts w:ascii="Arial" w:hAnsi="Arial" w:cs="Arial"/>
                <w:sz w:val="20"/>
                <w:szCs w:val="20"/>
              </w:rPr>
            </w:pPr>
          </w:p>
        </w:tc>
        <w:tc>
          <w:tcPr>
            <w:tcW w:w="2020" w:type="dxa"/>
            <w:vMerge/>
            <w:tcBorders>
              <w:top w:val="nil"/>
              <w:left w:val="single" w:sz="4" w:space="0" w:color="auto"/>
              <w:bottom w:val="nil"/>
              <w:right w:val="single" w:sz="4" w:space="0" w:color="auto"/>
            </w:tcBorders>
            <w:vAlign w:val="center"/>
            <w:hideMark/>
          </w:tcPr>
          <w:p w14:paraId="246C4B9C" w14:textId="77777777" w:rsidR="005808F4" w:rsidRPr="005808F4" w:rsidRDefault="005808F4" w:rsidP="00237521">
            <w:pPr>
              <w:keepNext/>
              <w:rPr>
                <w:rFonts w:ascii="Arial" w:hAnsi="Arial" w:cs="Arial"/>
                <w:sz w:val="20"/>
                <w:szCs w:val="20"/>
              </w:rPr>
            </w:pPr>
          </w:p>
        </w:tc>
      </w:tr>
      <w:tr w:rsidR="005808F4" w:rsidRPr="005808F4" w14:paraId="78F2BFC4"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374AB83"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14</w:t>
            </w:r>
          </w:p>
        </w:tc>
        <w:tc>
          <w:tcPr>
            <w:tcW w:w="2020" w:type="dxa"/>
            <w:vMerge w:val="restart"/>
            <w:tcBorders>
              <w:top w:val="nil"/>
              <w:left w:val="single" w:sz="4" w:space="0" w:color="auto"/>
              <w:bottom w:val="nil"/>
              <w:right w:val="single" w:sz="4" w:space="0" w:color="auto"/>
            </w:tcBorders>
            <w:shd w:val="clear" w:color="000000" w:fill="9BC2E6"/>
            <w:vAlign w:val="center"/>
            <w:hideMark/>
          </w:tcPr>
          <w:p w14:paraId="3DE49496"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middle of event</w:t>
            </w:r>
          </w:p>
        </w:tc>
        <w:tc>
          <w:tcPr>
            <w:tcW w:w="2020" w:type="dxa"/>
            <w:tcBorders>
              <w:top w:val="nil"/>
              <w:left w:val="nil"/>
              <w:bottom w:val="nil"/>
              <w:right w:val="single" w:sz="4" w:space="0" w:color="auto"/>
            </w:tcBorders>
            <w:shd w:val="clear" w:color="000000" w:fill="C9C9C9"/>
            <w:noWrap/>
            <w:vAlign w:val="center"/>
            <w:hideMark/>
          </w:tcPr>
          <w:p w14:paraId="052509B9"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pre-event hour</w:t>
            </w:r>
          </w:p>
        </w:tc>
      </w:tr>
      <w:tr w:rsidR="005808F4" w:rsidRPr="005808F4" w14:paraId="33FFC4DF"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3B3BFF0"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15</w:t>
            </w:r>
          </w:p>
        </w:tc>
        <w:tc>
          <w:tcPr>
            <w:tcW w:w="2020" w:type="dxa"/>
            <w:vMerge/>
            <w:tcBorders>
              <w:top w:val="nil"/>
              <w:left w:val="single" w:sz="4" w:space="0" w:color="auto"/>
              <w:bottom w:val="nil"/>
              <w:right w:val="single" w:sz="4" w:space="0" w:color="auto"/>
            </w:tcBorders>
            <w:vAlign w:val="center"/>
            <w:hideMark/>
          </w:tcPr>
          <w:p w14:paraId="71D705DE" w14:textId="77777777" w:rsidR="005808F4" w:rsidRPr="005808F4" w:rsidRDefault="005808F4" w:rsidP="00237521">
            <w:pPr>
              <w:keepNext/>
              <w:rPr>
                <w:rFonts w:ascii="Arial" w:hAnsi="Arial" w:cs="Arial"/>
                <w:sz w:val="20"/>
                <w:szCs w:val="20"/>
              </w:rPr>
            </w:pPr>
          </w:p>
        </w:tc>
        <w:tc>
          <w:tcPr>
            <w:tcW w:w="2020" w:type="dxa"/>
            <w:tcBorders>
              <w:top w:val="nil"/>
              <w:left w:val="nil"/>
              <w:bottom w:val="nil"/>
              <w:right w:val="single" w:sz="4" w:space="0" w:color="auto"/>
            </w:tcBorders>
            <w:shd w:val="clear" w:color="000000" w:fill="BDD7EE"/>
            <w:noWrap/>
            <w:vAlign w:val="center"/>
            <w:hideMark/>
          </w:tcPr>
          <w:p w14:paraId="610911E1"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beginning of event</w:t>
            </w:r>
          </w:p>
        </w:tc>
      </w:tr>
      <w:tr w:rsidR="005808F4" w:rsidRPr="005808F4" w14:paraId="2315FC65"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6307A92"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16</w:t>
            </w:r>
          </w:p>
        </w:tc>
        <w:tc>
          <w:tcPr>
            <w:tcW w:w="2020" w:type="dxa"/>
            <w:vMerge/>
            <w:tcBorders>
              <w:top w:val="nil"/>
              <w:left w:val="single" w:sz="4" w:space="0" w:color="auto"/>
              <w:bottom w:val="nil"/>
              <w:right w:val="single" w:sz="4" w:space="0" w:color="auto"/>
            </w:tcBorders>
            <w:vAlign w:val="center"/>
            <w:hideMark/>
          </w:tcPr>
          <w:p w14:paraId="3CDB31E5" w14:textId="77777777" w:rsidR="005808F4" w:rsidRPr="005808F4" w:rsidRDefault="005808F4" w:rsidP="00237521">
            <w:pPr>
              <w:keepNext/>
              <w:rPr>
                <w:rFonts w:ascii="Arial" w:hAnsi="Arial" w:cs="Arial"/>
                <w:sz w:val="20"/>
                <w:szCs w:val="20"/>
              </w:rPr>
            </w:pPr>
          </w:p>
        </w:tc>
        <w:tc>
          <w:tcPr>
            <w:tcW w:w="2020" w:type="dxa"/>
            <w:vMerge w:val="restart"/>
            <w:tcBorders>
              <w:top w:val="nil"/>
              <w:left w:val="single" w:sz="4" w:space="0" w:color="auto"/>
              <w:bottom w:val="nil"/>
              <w:right w:val="single" w:sz="4" w:space="0" w:color="auto"/>
            </w:tcBorders>
            <w:shd w:val="clear" w:color="000000" w:fill="9BC2E6"/>
            <w:noWrap/>
            <w:vAlign w:val="center"/>
            <w:hideMark/>
          </w:tcPr>
          <w:p w14:paraId="4015E599"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middle of event</w:t>
            </w:r>
          </w:p>
        </w:tc>
      </w:tr>
      <w:tr w:rsidR="005808F4" w:rsidRPr="005808F4" w14:paraId="5F04296D"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1D80720E"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17</w:t>
            </w:r>
          </w:p>
        </w:tc>
        <w:tc>
          <w:tcPr>
            <w:tcW w:w="2020" w:type="dxa"/>
            <w:vMerge w:val="restart"/>
            <w:tcBorders>
              <w:top w:val="nil"/>
              <w:left w:val="single" w:sz="4" w:space="0" w:color="auto"/>
              <w:bottom w:val="nil"/>
              <w:right w:val="single" w:sz="4" w:space="0" w:color="auto"/>
            </w:tcBorders>
            <w:shd w:val="clear" w:color="000000" w:fill="2F75B5"/>
            <w:vAlign w:val="center"/>
            <w:hideMark/>
          </w:tcPr>
          <w:p w14:paraId="63A441E0"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end of event</w:t>
            </w:r>
          </w:p>
        </w:tc>
        <w:tc>
          <w:tcPr>
            <w:tcW w:w="2020" w:type="dxa"/>
            <w:vMerge/>
            <w:tcBorders>
              <w:top w:val="nil"/>
              <w:left w:val="single" w:sz="4" w:space="0" w:color="auto"/>
              <w:bottom w:val="nil"/>
              <w:right w:val="single" w:sz="4" w:space="0" w:color="auto"/>
            </w:tcBorders>
            <w:vAlign w:val="center"/>
            <w:hideMark/>
          </w:tcPr>
          <w:p w14:paraId="2F801075" w14:textId="77777777" w:rsidR="005808F4" w:rsidRPr="005808F4" w:rsidRDefault="005808F4" w:rsidP="00237521">
            <w:pPr>
              <w:keepNext/>
              <w:rPr>
                <w:rFonts w:ascii="Arial" w:hAnsi="Arial" w:cs="Arial"/>
                <w:sz w:val="20"/>
                <w:szCs w:val="20"/>
              </w:rPr>
            </w:pPr>
          </w:p>
        </w:tc>
      </w:tr>
      <w:tr w:rsidR="005808F4" w:rsidRPr="005808F4" w14:paraId="053EB3A3"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3DB61B08"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18</w:t>
            </w:r>
          </w:p>
        </w:tc>
        <w:tc>
          <w:tcPr>
            <w:tcW w:w="2020" w:type="dxa"/>
            <w:vMerge/>
            <w:tcBorders>
              <w:top w:val="nil"/>
              <w:left w:val="single" w:sz="4" w:space="0" w:color="auto"/>
              <w:bottom w:val="nil"/>
              <w:right w:val="single" w:sz="4" w:space="0" w:color="auto"/>
            </w:tcBorders>
            <w:vAlign w:val="center"/>
            <w:hideMark/>
          </w:tcPr>
          <w:p w14:paraId="0E37D2FB" w14:textId="77777777" w:rsidR="005808F4" w:rsidRPr="005808F4" w:rsidRDefault="005808F4" w:rsidP="00237521">
            <w:pPr>
              <w:keepNext/>
              <w:rPr>
                <w:rFonts w:ascii="Arial" w:hAnsi="Arial" w:cs="Arial"/>
                <w:sz w:val="20"/>
                <w:szCs w:val="20"/>
              </w:rPr>
            </w:pPr>
          </w:p>
        </w:tc>
        <w:tc>
          <w:tcPr>
            <w:tcW w:w="2020" w:type="dxa"/>
            <w:tcBorders>
              <w:top w:val="nil"/>
              <w:left w:val="nil"/>
              <w:bottom w:val="nil"/>
              <w:right w:val="single" w:sz="4" w:space="0" w:color="auto"/>
            </w:tcBorders>
            <w:shd w:val="clear" w:color="000000" w:fill="2F75B5"/>
            <w:noWrap/>
            <w:vAlign w:val="center"/>
            <w:hideMark/>
          </w:tcPr>
          <w:p w14:paraId="0EA5AF31"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end of event</w:t>
            </w:r>
          </w:p>
        </w:tc>
      </w:tr>
      <w:tr w:rsidR="005808F4" w:rsidRPr="005808F4" w14:paraId="0F91DBE8"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517E169B"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19</w:t>
            </w:r>
          </w:p>
        </w:tc>
        <w:tc>
          <w:tcPr>
            <w:tcW w:w="2020" w:type="dxa"/>
            <w:tcBorders>
              <w:top w:val="nil"/>
              <w:left w:val="nil"/>
              <w:bottom w:val="nil"/>
              <w:right w:val="single" w:sz="4" w:space="0" w:color="auto"/>
            </w:tcBorders>
            <w:shd w:val="clear" w:color="000000" w:fill="A6A6A6"/>
            <w:vAlign w:val="center"/>
            <w:hideMark/>
          </w:tcPr>
          <w:p w14:paraId="6D362075"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hour-ending 19</w:t>
            </w:r>
          </w:p>
        </w:tc>
        <w:tc>
          <w:tcPr>
            <w:tcW w:w="2020" w:type="dxa"/>
            <w:tcBorders>
              <w:top w:val="nil"/>
              <w:left w:val="nil"/>
              <w:bottom w:val="nil"/>
              <w:right w:val="single" w:sz="4" w:space="0" w:color="auto"/>
            </w:tcBorders>
            <w:shd w:val="clear" w:color="000000" w:fill="A6A6A6"/>
            <w:vAlign w:val="center"/>
            <w:hideMark/>
          </w:tcPr>
          <w:p w14:paraId="508814C6"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hour-ending 19</w:t>
            </w:r>
          </w:p>
        </w:tc>
      </w:tr>
      <w:tr w:rsidR="005808F4" w:rsidRPr="005808F4" w14:paraId="55B3E2D3"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69ADFCF0"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20</w:t>
            </w:r>
          </w:p>
        </w:tc>
        <w:tc>
          <w:tcPr>
            <w:tcW w:w="2020" w:type="dxa"/>
            <w:tcBorders>
              <w:top w:val="nil"/>
              <w:left w:val="nil"/>
              <w:bottom w:val="nil"/>
              <w:right w:val="single" w:sz="4" w:space="0" w:color="auto"/>
            </w:tcBorders>
            <w:shd w:val="clear" w:color="000000" w:fill="A6A6A6"/>
            <w:vAlign w:val="center"/>
            <w:hideMark/>
          </w:tcPr>
          <w:p w14:paraId="52CD8317"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hour-ending 20</w:t>
            </w:r>
          </w:p>
        </w:tc>
        <w:tc>
          <w:tcPr>
            <w:tcW w:w="2020" w:type="dxa"/>
            <w:tcBorders>
              <w:top w:val="nil"/>
              <w:left w:val="nil"/>
              <w:bottom w:val="nil"/>
              <w:right w:val="single" w:sz="4" w:space="0" w:color="auto"/>
            </w:tcBorders>
            <w:shd w:val="clear" w:color="000000" w:fill="A6A6A6"/>
            <w:vAlign w:val="center"/>
            <w:hideMark/>
          </w:tcPr>
          <w:p w14:paraId="312AE585"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hour-ending 20</w:t>
            </w:r>
          </w:p>
        </w:tc>
      </w:tr>
      <w:tr w:rsidR="005808F4" w:rsidRPr="005808F4" w14:paraId="4349FC44"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7111ABBD"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21</w:t>
            </w:r>
          </w:p>
        </w:tc>
        <w:tc>
          <w:tcPr>
            <w:tcW w:w="2020" w:type="dxa"/>
            <w:tcBorders>
              <w:top w:val="nil"/>
              <w:left w:val="nil"/>
              <w:bottom w:val="nil"/>
              <w:right w:val="single" w:sz="4" w:space="0" w:color="auto"/>
            </w:tcBorders>
            <w:shd w:val="clear" w:color="000000" w:fill="A6A6A6"/>
            <w:vAlign w:val="center"/>
            <w:hideMark/>
          </w:tcPr>
          <w:p w14:paraId="4DF671DD"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hour-ending 21</w:t>
            </w:r>
          </w:p>
        </w:tc>
        <w:tc>
          <w:tcPr>
            <w:tcW w:w="2020" w:type="dxa"/>
            <w:tcBorders>
              <w:top w:val="nil"/>
              <w:left w:val="nil"/>
              <w:bottom w:val="nil"/>
              <w:right w:val="single" w:sz="4" w:space="0" w:color="auto"/>
            </w:tcBorders>
            <w:shd w:val="clear" w:color="000000" w:fill="A6A6A6"/>
            <w:vAlign w:val="center"/>
            <w:hideMark/>
          </w:tcPr>
          <w:p w14:paraId="027AFD09"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hour-ending 21</w:t>
            </w:r>
          </w:p>
        </w:tc>
      </w:tr>
      <w:tr w:rsidR="005808F4" w:rsidRPr="005808F4" w14:paraId="500FF62B"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85F86D0"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22</w:t>
            </w:r>
          </w:p>
        </w:tc>
        <w:tc>
          <w:tcPr>
            <w:tcW w:w="2020" w:type="dxa"/>
            <w:tcBorders>
              <w:top w:val="nil"/>
              <w:left w:val="nil"/>
              <w:bottom w:val="nil"/>
              <w:right w:val="single" w:sz="4" w:space="0" w:color="auto"/>
            </w:tcBorders>
            <w:shd w:val="clear" w:color="000000" w:fill="A6A6A6"/>
            <w:vAlign w:val="center"/>
            <w:hideMark/>
          </w:tcPr>
          <w:p w14:paraId="53C39654"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hour-ending 22</w:t>
            </w:r>
          </w:p>
        </w:tc>
        <w:tc>
          <w:tcPr>
            <w:tcW w:w="2020" w:type="dxa"/>
            <w:tcBorders>
              <w:top w:val="nil"/>
              <w:left w:val="nil"/>
              <w:bottom w:val="nil"/>
              <w:right w:val="single" w:sz="4" w:space="0" w:color="auto"/>
            </w:tcBorders>
            <w:shd w:val="clear" w:color="000000" w:fill="A6A6A6"/>
            <w:vAlign w:val="center"/>
            <w:hideMark/>
          </w:tcPr>
          <w:p w14:paraId="116AFA45"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hour-ending 22</w:t>
            </w:r>
          </w:p>
        </w:tc>
      </w:tr>
      <w:tr w:rsidR="005808F4" w:rsidRPr="005808F4" w14:paraId="18C30187"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F63A5F1"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23</w:t>
            </w:r>
          </w:p>
        </w:tc>
        <w:tc>
          <w:tcPr>
            <w:tcW w:w="2020" w:type="dxa"/>
            <w:tcBorders>
              <w:top w:val="nil"/>
              <w:left w:val="nil"/>
              <w:bottom w:val="nil"/>
              <w:right w:val="single" w:sz="4" w:space="0" w:color="auto"/>
            </w:tcBorders>
            <w:shd w:val="clear" w:color="000000" w:fill="A6A6A6"/>
            <w:vAlign w:val="center"/>
            <w:hideMark/>
          </w:tcPr>
          <w:p w14:paraId="7CE1CB9D"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hour-ending 23</w:t>
            </w:r>
          </w:p>
        </w:tc>
        <w:tc>
          <w:tcPr>
            <w:tcW w:w="2020" w:type="dxa"/>
            <w:tcBorders>
              <w:top w:val="nil"/>
              <w:left w:val="nil"/>
              <w:bottom w:val="nil"/>
              <w:right w:val="single" w:sz="4" w:space="0" w:color="auto"/>
            </w:tcBorders>
            <w:shd w:val="clear" w:color="000000" w:fill="A6A6A6"/>
            <w:vAlign w:val="center"/>
            <w:hideMark/>
          </w:tcPr>
          <w:p w14:paraId="7D4D47A8"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hour-ending 23</w:t>
            </w:r>
          </w:p>
        </w:tc>
      </w:tr>
      <w:tr w:rsidR="005808F4" w:rsidRPr="005808F4" w14:paraId="4815BDA5" w14:textId="77777777" w:rsidTr="00237521">
        <w:trPr>
          <w:trHeight w:val="255"/>
          <w:jc w:val="center"/>
        </w:trPr>
        <w:tc>
          <w:tcPr>
            <w:tcW w:w="960" w:type="dxa"/>
            <w:tcBorders>
              <w:top w:val="nil"/>
              <w:left w:val="single" w:sz="4" w:space="0" w:color="auto"/>
              <w:bottom w:val="single" w:sz="4" w:space="0" w:color="auto"/>
              <w:right w:val="single" w:sz="4" w:space="0" w:color="auto"/>
            </w:tcBorders>
            <w:shd w:val="clear" w:color="auto" w:fill="auto"/>
            <w:noWrap/>
            <w:vAlign w:val="center"/>
            <w:hideMark/>
          </w:tcPr>
          <w:p w14:paraId="0C1E5783"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24</w:t>
            </w:r>
          </w:p>
        </w:tc>
        <w:tc>
          <w:tcPr>
            <w:tcW w:w="2020" w:type="dxa"/>
            <w:tcBorders>
              <w:top w:val="nil"/>
              <w:left w:val="nil"/>
              <w:bottom w:val="single" w:sz="4" w:space="0" w:color="auto"/>
              <w:right w:val="single" w:sz="4" w:space="0" w:color="auto"/>
            </w:tcBorders>
            <w:shd w:val="clear" w:color="000000" w:fill="A6A6A6"/>
            <w:vAlign w:val="center"/>
            <w:hideMark/>
          </w:tcPr>
          <w:p w14:paraId="030FEA4D"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hour-ending 24</w:t>
            </w:r>
          </w:p>
        </w:tc>
        <w:tc>
          <w:tcPr>
            <w:tcW w:w="2020" w:type="dxa"/>
            <w:tcBorders>
              <w:top w:val="nil"/>
              <w:left w:val="nil"/>
              <w:bottom w:val="single" w:sz="4" w:space="0" w:color="auto"/>
              <w:right w:val="single" w:sz="4" w:space="0" w:color="auto"/>
            </w:tcBorders>
            <w:shd w:val="clear" w:color="000000" w:fill="A6A6A6"/>
            <w:vAlign w:val="center"/>
            <w:hideMark/>
          </w:tcPr>
          <w:p w14:paraId="149C37CF" w14:textId="77777777" w:rsidR="005808F4" w:rsidRPr="005808F4" w:rsidRDefault="005808F4" w:rsidP="00237521">
            <w:pPr>
              <w:keepNext/>
              <w:jc w:val="center"/>
              <w:rPr>
                <w:rFonts w:ascii="Arial" w:hAnsi="Arial" w:cs="Arial"/>
                <w:sz w:val="20"/>
                <w:szCs w:val="20"/>
              </w:rPr>
            </w:pPr>
            <w:r w:rsidRPr="005808F4">
              <w:rPr>
                <w:rFonts w:ascii="Arial" w:hAnsi="Arial" w:cs="Arial"/>
                <w:sz w:val="20"/>
                <w:szCs w:val="20"/>
              </w:rPr>
              <w:t>hour-ending 24</w:t>
            </w:r>
          </w:p>
        </w:tc>
      </w:tr>
    </w:tbl>
    <w:p w14:paraId="6CDDE12C" w14:textId="77777777" w:rsidR="006C08DD" w:rsidRPr="006A779E" w:rsidRDefault="006C08DD" w:rsidP="00095AB1">
      <w:pPr>
        <w:spacing w:after="120"/>
      </w:pPr>
    </w:p>
    <w:p w14:paraId="0D4EC886" w14:textId="339F46E2" w:rsidR="00A92374" w:rsidRPr="0067419C" w:rsidRDefault="0067419C" w:rsidP="00095AB1">
      <w:pPr>
        <w:spacing w:after="120"/>
      </w:pPr>
      <w:r>
        <w:t>We also report portfolio-level load impacts for instances when a CPP event is called on the same day as a S</w:t>
      </w:r>
      <w:r w:rsidR="008A59FE">
        <w:t>ummer Saver</w:t>
      </w:r>
      <w:r w:rsidR="00064947">
        <w:t xml:space="preserve"> or SCTD</w:t>
      </w:r>
      <w:r>
        <w:t xml:space="preserve"> event. </w:t>
      </w:r>
      <w:r w:rsidR="008A59FE">
        <w:t>For such days, w</w:t>
      </w:r>
      <w:r>
        <w:t>e assume that S</w:t>
      </w:r>
      <w:r w:rsidR="008A59FE">
        <w:t>ummer Saver</w:t>
      </w:r>
      <w:r>
        <w:t xml:space="preserve"> </w:t>
      </w:r>
      <w:r w:rsidR="00064947">
        <w:t xml:space="preserve">and SCTD </w:t>
      </w:r>
      <w:r>
        <w:t xml:space="preserve">customers </w:t>
      </w:r>
      <w:r w:rsidR="008A59FE">
        <w:t xml:space="preserve">do not </w:t>
      </w:r>
      <w:r>
        <w:t xml:space="preserve">provide </w:t>
      </w:r>
      <w:r w:rsidR="008A59FE">
        <w:t>a</w:t>
      </w:r>
      <w:r>
        <w:t xml:space="preserve"> load impact </w:t>
      </w:r>
      <w:r w:rsidR="008A59FE">
        <w:t xml:space="preserve">that can be attributable to CPP </w:t>
      </w:r>
      <w:r>
        <w:t>and therefore remove dually enrolled customers from the reference load and load impacts for portfolio-level estimates. The proportion of S</w:t>
      </w:r>
      <w:r w:rsidR="008A59FE">
        <w:t>ummer Saver</w:t>
      </w:r>
      <w:r>
        <w:t xml:space="preserve"> customers is </w:t>
      </w:r>
      <w:r w:rsidR="008A59FE">
        <w:t xml:space="preserve">assumed to be </w:t>
      </w:r>
      <w:r>
        <w:t xml:space="preserve">equivalent to </w:t>
      </w:r>
      <w:r>
        <w:rPr>
          <w:i/>
        </w:rPr>
        <w:t xml:space="preserve">ex-post </w:t>
      </w:r>
      <w:r>
        <w:t xml:space="preserve">enrollment numbers and is held constant </w:t>
      </w:r>
      <w:r w:rsidR="008A59FE">
        <w:t>throughout</w:t>
      </w:r>
      <w:r>
        <w:t xml:space="preserve"> the </w:t>
      </w:r>
      <w:r>
        <w:rPr>
          <w:i/>
        </w:rPr>
        <w:t>ex-ante</w:t>
      </w:r>
      <w:r>
        <w:t xml:space="preserve"> forecast. </w:t>
      </w:r>
    </w:p>
    <w:p w14:paraId="77683CBD" w14:textId="6B447B4C" w:rsidR="0038058B" w:rsidRDefault="0038058B" w:rsidP="00095AB1">
      <w:pPr>
        <w:spacing w:after="120"/>
      </w:pPr>
      <w:r>
        <w:t xml:space="preserve">An additional issue in producing the </w:t>
      </w:r>
      <w:r w:rsidRPr="00277B06">
        <w:rPr>
          <w:i/>
        </w:rPr>
        <w:t>ex-ante</w:t>
      </w:r>
      <w:r>
        <w:t xml:space="preserve"> load impact forecasts is that the Protocols call for estimating load impacts for the RA hours of 1 to 6 p.m. during summer months, and 4 to 9 p.m. in </w:t>
      </w:r>
      <w:r w:rsidR="00F23CC4">
        <w:t>winter</w:t>
      </w:r>
      <w:r>
        <w:t xml:space="preserve"> months, while the CPP events are called during the </w:t>
      </w:r>
      <w:r w:rsidR="00500126">
        <w:t xml:space="preserve">program </w:t>
      </w:r>
      <w:r>
        <w:t xml:space="preserve">hours of </w:t>
      </w:r>
      <w:r w:rsidR="000859CE">
        <w:t>2 p</w:t>
      </w:r>
      <w:r>
        <w:t>.m. to 6 p.m. year-round. We simulate the load impacts using the event hours that are indicated by the tariff, but we summarize the load impacts across the RA window as required.</w:t>
      </w:r>
    </w:p>
    <w:p w14:paraId="1D84E899" w14:textId="4ACAFAC8" w:rsidR="00113FD1" w:rsidRPr="009E619E" w:rsidRDefault="00500126" w:rsidP="00095AB1">
      <w:pPr>
        <w:spacing w:after="120"/>
      </w:pPr>
      <w:r>
        <w:t xml:space="preserve">For </w:t>
      </w:r>
      <w:r w:rsidR="00064947">
        <w:t>TOU load impacts (TOU-DR and TOU-DR-P customers)</w:t>
      </w:r>
      <w:r>
        <w:t xml:space="preserve">, we </w:t>
      </w:r>
      <w:r w:rsidR="00255594">
        <w:t xml:space="preserve">apply percentage peak load impacts from </w:t>
      </w:r>
      <w:r>
        <w:t xml:space="preserve">the </w:t>
      </w:r>
      <w:r w:rsidRPr="00500126">
        <w:rPr>
          <w:i/>
        </w:rPr>
        <w:t>ex-post</w:t>
      </w:r>
      <w:r>
        <w:t xml:space="preserve"> analysis </w:t>
      </w:r>
      <w:r w:rsidR="00255594">
        <w:t xml:space="preserve">(monthly values for </w:t>
      </w:r>
      <w:r w:rsidR="005E5D58">
        <w:t>CPP</w:t>
      </w:r>
      <w:r w:rsidR="00255594">
        <w:t xml:space="preserve"> and seasonal values for TOU) to weather-sensitive reference loads that are developed as described in the following sub-section.</w:t>
      </w:r>
      <w:r w:rsidR="00113FD1">
        <w:t xml:space="preserve"> SDG&amp;E has also made changes to the TOU periods, as described </w:t>
      </w:r>
      <w:r w:rsidR="00113FD1">
        <w:lastRenderedPageBreak/>
        <w:t xml:space="preserve">in Section 2. We apply the </w:t>
      </w:r>
      <w:r w:rsidR="00113FD1">
        <w:rPr>
          <w:i/>
        </w:rPr>
        <w:t xml:space="preserve">ex-post </w:t>
      </w:r>
      <w:r w:rsidR="00113FD1">
        <w:t>TOU load impacts</w:t>
      </w:r>
      <w:r w:rsidR="005028D1">
        <w:t xml:space="preserve"> percentages</w:t>
      </w:r>
      <w:r w:rsidR="00113FD1">
        <w:t xml:space="preserve"> to the updated TOU periods. For example, the summer peak-period has changed from hours-ending 12 through 18 to </w:t>
      </w:r>
      <w:r w:rsidR="005028D1">
        <w:t xml:space="preserve">a later peak of hours-ending 17 through 21. Therefore, the </w:t>
      </w:r>
      <w:r w:rsidR="005028D1">
        <w:rPr>
          <w:i/>
        </w:rPr>
        <w:t>ex-post</w:t>
      </w:r>
      <w:r w:rsidR="005028D1">
        <w:t xml:space="preserve"> percentage load impacts between HE 12-18 is applied to </w:t>
      </w:r>
      <w:r w:rsidR="005028D1">
        <w:rPr>
          <w:i/>
        </w:rPr>
        <w:t>ex-ante</w:t>
      </w:r>
      <w:r w:rsidR="005028D1">
        <w:t xml:space="preserve"> reference loads during hours-ending 17-21 to obtain load impacts. </w:t>
      </w:r>
    </w:p>
    <w:p w14:paraId="391D1E84" w14:textId="17015B14" w:rsidR="00FC11D8" w:rsidRPr="0023738E" w:rsidRDefault="008771A7" w:rsidP="00095AB1">
      <w:pPr>
        <w:pStyle w:val="Heading3"/>
        <w:spacing w:after="120"/>
        <w:rPr>
          <w:sz w:val="24"/>
          <w:szCs w:val="24"/>
        </w:rPr>
      </w:pPr>
      <w:bookmarkStart w:id="101" w:name="_Toc509576767"/>
      <w:r>
        <w:rPr>
          <w:sz w:val="24"/>
          <w:szCs w:val="24"/>
        </w:rPr>
        <w:t>6</w:t>
      </w:r>
      <w:r w:rsidR="00FC11D8" w:rsidRPr="0023738E">
        <w:rPr>
          <w:sz w:val="24"/>
          <w:szCs w:val="24"/>
        </w:rPr>
        <w:t>.1.2 Per-customer reference loads</w:t>
      </w:r>
      <w:bookmarkEnd w:id="101"/>
    </w:p>
    <w:p w14:paraId="083D43E9" w14:textId="725F40F0" w:rsidR="00255594" w:rsidRDefault="00202DFD" w:rsidP="00095AB1">
      <w:pPr>
        <w:spacing w:after="120"/>
      </w:pPr>
      <w:r>
        <w:rPr>
          <w:rFonts w:asciiTheme="minorHAnsi" w:hAnsiTheme="minorHAnsi"/>
        </w:rPr>
        <w:t>W</w:t>
      </w:r>
      <w:r w:rsidR="007B4CCB" w:rsidRPr="007B4CCB">
        <w:rPr>
          <w:rFonts w:asciiTheme="minorHAnsi" w:hAnsiTheme="minorHAnsi"/>
        </w:rPr>
        <w:t xml:space="preserve">eather-sensitive reference loads for the average customer in </w:t>
      </w:r>
      <w:r w:rsidR="00CD0C19">
        <w:rPr>
          <w:rFonts w:asciiTheme="minorHAnsi" w:hAnsiTheme="minorHAnsi"/>
        </w:rPr>
        <w:t xml:space="preserve">each of the two </w:t>
      </w:r>
      <w:r w:rsidR="008771A7">
        <w:rPr>
          <w:rFonts w:asciiTheme="minorHAnsi" w:hAnsiTheme="minorHAnsi"/>
        </w:rPr>
        <w:t>climate zone</w:t>
      </w:r>
      <w:r w:rsidR="00CD0C19">
        <w:rPr>
          <w:rFonts w:asciiTheme="minorHAnsi" w:hAnsiTheme="minorHAnsi"/>
        </w:rPr>
        <w:t>s</w:t>
      </w:r>
      <w:r w:rsidR="008771A7">
        <w:rPr>
          <w:rFonts w:asciiTheme="minorHAnsi" w:hAnsiTheme="minorHAnsi"/>
        </w:rPr>
        <w:t xml:space="preserve"> </w:t>
      </w:r>
      <w:r w:rsidR="007B4CCB" w:rsidRPr="007B4CCB">
        <w:rPr>
          <w:rFonts w:asciiTheme="minorHAnsi" w:hAnsiTheme="minorHAnsi"/>
        </w:rPr>
        <w:t>were developed through a regression analysis</w:t>
      </w:r>
      <w:r w:rsidR="007B4CCB">
        <w:rPr>
          <w:rFonts w:asciiTheme="minorHAnsi" w:hAnsiTheme="minorHAnsi"/>
        </w:rPr>
        <w:t xml:space="preserve"> of hourly load data for weekday non-event days for the period of October 201</w:t>
      </w:r>
      <w:r w:rsidR="000859CE">
        <w:rPr>
          <w:rFonts w:asciiTheme="minorHAnsi" w:hAnsiTheme="minorHAnsi"/>
        </w:rPr>
        <w:t>6 through September 2017</w:t>
      </w:r>
      <w:r w:rsidR="007B4CCB">
        <w:rPr>
          <w:rFonts w:asciiTheme="minorHAnsi" w:hAnsiTheme="minorHAnsi"/>
        </w:rPr>
        <w:t xml:space="preserve"> </w:t>
      </w:r>
      <w:r w:rsidR="008771A7">
        <w:rPr>
          <w:rFonts w:asciiTheme="minorHAnsi" w:hAnsiTheme="minorHAnsi"/>
        </w:rPr>
        <w:t>for</w:t>
      </w:r>
      <w:r w:rsidR="00CD0C19">
        <w:rPr>
          <w:rFonts w:asciiTheme="minorHAnsi" w:hAnsiTheme="minorHAnsi"/>
        </w:rPr>
        <w:t xml:space="preserve"> the</w:t>
      </w:r>
      <w:r w:rsidR="008771A7">
        <w:rPr>
          <w:rFonts w:asciiTheme="minorHAnsi" w:hAnsiTheme="minorHAnsi"/>
        </w:rPr>
        <w:t xml:space="preserve"> </w:t>
      </w:r>
      <w:r w:rsidR="005E5D58">
        <w:rPr>
          <w:rFonts w:asciiTheme="minorHAnsi" w:hAnsiTheme="minorHAnsi"/>
        </w:rPr>
        <w:t>CPP</w:t>
      </w:r>
      <w:r w:rsidR="008771A7">
        <w:rPr>
          <w:rFonts w:asciiTheme="minorHAnsi" w:hAnsiTheme="minorHAnsi"/>
        </w:rPr>
        <w:t xml:space="preserve"> </w:t>
      </w:r>
      <w:r w:rsidR="00255594">
        <w:rPr>
          <w:rFonts w:asciiTheme="minorHAnsi" w:hAnsiTheme="minorHAnsi"/>
        </w:rPr>
        <w:t xml:space="preserve">and TOU </w:t>
      </w:r>
      <w:r w:rsidR="007B4CCB" w:rsidRPr="007B4CCB">
        <w:rPr>
          <w:rFonts w:asciiTheme="minorHAnsi" w:hAnsiTheme="minorHAnsi"/>
        </w:rPr>
        <w:t>customers</w:t>
      </w:r>
      <w:r w:rsidR="007B4CCB">
        <w:rPr>
          <w:rFonts w:asciiTheme="minorHAnsi" w:hAnsiTheme="minorHAnsi"/>
        </w:rPr>
        <w:t>.</w:t>
      </w:r>
      <w:r w:rsidR="00CA23E4">
        <w:rPr>
          <w:rFonts w:asciiTheme="minorHAnsi" w:hAnsiTheme="minorHAnsi"/>
        </w:rPr>
        <w:t xml:space="preserve"> Customers are first sorted as weather sensitive or not.</w:t>
      </w:r>
      <w:r w:rsidR="00CA23E4">
        <w:rPr>
          <w:rStyle w:val="FootnoteReference"/>
          <w:rFonts w:asciiTheme="minorHAnsi" w:hAnsiTheme="minorHAnsi"/>
        </w:rPr>
        <w:footnoteReference w:id="18"/>
      </w:r>
      <w:r w:rsidR="00CA23E4">
        <w:rPr>
          <w:rFonts w:asciiTheme="minorHAnsi" w:hAnsiTheme="minorHAnsi"/>
        </w:rPr>
        <w:t xml:space="preserve"> </w:t>
      </w:r>
      <w:r w:rsidR="007B4CCB" w:rsidRPr="007B4CCB">
        <w:rPr>
          <w:rFonts w:asciiTheme="minorHAnsi" w:hAnsiTheme="minorHAnsi"/>
        </w:rPr>
        <w:t xml:space="preserve"> </w:t>
      </w:r>
      <w:r w:rsidR="007B4CCB" w:rsidRPr="00976434">
        <w:t>Regression models were estimated separately for each hour of the day</w:t>
      </w:r>
      <w:r w:rsidR="00CA23E4">
        <w:t xml:space="preserve"> by weather sensitivity</w:t>
      </w:r>
      <w:r w:rsidR="007B4CCB" w:rsidRPr="00976434">
        <w:t>, using</w:t>
      </w:r>
      <w:r w:rsidR="00255594">
        <w:t xml:space="preserve"> daily observations for weekdays, and</w:t>
      </w:r>
      <w:r w:rsidR="007B4CCB" w:rsidRPr="00976434">
        <w:t xml:space="preserve"> a form similar to that of the </w:t>
      </w:r>
      <w:r w:rsidR="00255594" w:rsidRPr="00255594">
        <w:rPr>
          <w:i/>
        </w:rPr>
        <w:t>ex-post</w:t>
      </w:r>
      <w:r w:rsidR="00255594">
        <w:t xml:space="preserve"> </w:t>
      </w:r>
      <w:r w:rsidR="007B4CCB" w:rsidRPr="00976434">
        <w:t>load impact models</w:t>
      </w:r>
      <w:r w:rsidR="00255594">
        <w:t xml:space="preserve">. The primary differences </w:t>
      </w:r>
      <w:r w:rsidR="00616A7B">
        <w:t>between</w:t>
      </w:r>
      <w:r w:rsidR="00255594">
        <w:t xml:space="preserve"> this analysis </w:t>
      </w:r>
      <w:r w:rsidR="00616A7B">
        <w:t xml:space="preserve">compared to the </w:t>
      </w:r>
      <w:r w:rsidR="00616A7B" w:rsidRPr="00667B8C">
        <w:rPr>
          <w:i/>
        </w:rPr>
        <w:t>ex-post</w:t>
      </w:r>
      <w:r w:rsidR="00616A7B">
        <w:t xml:space="preserve"> analysis </w:t>
      </w:r>
      <w:r w:rsidR="00255594">
        <w:t>are:</w:t>
      </w:r>
    </w:p>
    <w:p w14:paraId="4BDE4ABB" w14:textId="1E3B1997" w:rsidR="00616A7B" w:rsidRPr="00616A7B" w:rsidRDefault="00616A7B" w:rsidP="00095AB1">
      <w:pPr>
        <w:pStyle w:val="ListParagraph"/>
        <w:numPr>
          <w:ilvl w:val="0"/>
          <w:numId w:val="36"/>
        </w:numPr>
        <w:spacing w:after="120"/>
        <w:rPr>
          <w:rFonts w:asciiTheme="minorHAnsi" w:hAnsiTheme="minorHAnsi" w:cstheme="minorHAnsi"/>
        </w:rPr>
      </w:pPr>
      <w:r w:rsidRPr="00616A7B">
        <w:rPr>
          <w:rFonts w:asciiTheme="minorHAnsi" w:hAnsiTheme="minorHAnsi" w:cstheme="minorHAnsi"/>
        </w:rPr>
        <w:t>The analysis included only the treatment customers;</w:t>
      </w:r>
    </w:p>
    <w:p w14:paraId="356EB77E" w14:textId="1C52303E" w:rsidR="00616A7B" w:rsidRPr="00616A7B" w:rsidRDefault="00616A7B" w:rsidP="00095AB1">
      <w:pPr>
        <w:pStyle w:val="ListParagraph"/>
        <w:numPr>
          <w:ilvl w:val="0"/>
          <w:numId w:val="36"/>
        </w:numPr>
        <w:spacing w:after="120"/>
        <w:rPr>
          <w:rFonts w:asciiTheme="minorHAnsi" w:hAnsiTheme="minorHAnsi" w:cstheme="minorHAnsi"/>
        </w:rPr>
      </w:pPr>
      <w:r w:rsidRPr="00616A7B">
        <w:rPr>
          <w:rFonts w:asciiTheme="minorHAnsi" w:hAnsiTheme="minorHAnsi" w:cstheme="minorHAnsi"/>
        </w:rPr>
        <w:t>Weathe</w:t>
      </w:r>
      <w:r w:rsidR="000859CE">
        <w:rPr>
          <w:rFonts w:asciiTheme="minorHAnsi" w:hAnsiTheme="minorHAnsi" w:cstheme="minorHAnsi"/>
        </w:rPr>
        <w:t>r variables were included (</w:t>
      </w:r>
      <w:r w:rsidR="00CA23E4">
        <w:rPr>
          <w:rFonts w:asciiTheme="minorHAnsi" w:hAnsiTheme="minorHAnsi" w:cstheme="minorHAnsi"/>
        </w:rPr>
        <w:t xml:space="preserve">Mean17, </w:t>
      </w:r>
      <w:r w:rsidR="000859CE">
        <w:rPr>
          <w:rFonts w:asciiTheme="minorHAnsi" w:hAnsiTheme="minorHAnsi" w:cstheme="minorHAnsi"/>
        </w:rPr>
        <w:t>CDH60</w:t>
      </w:r>
      <w:r w:rsidR="00CA23E4">
        <w:rPr>
          <w:rFonts w:asciiTheme="minorHAnsi" w:hAnsiTheme="minorHAnsi" w:cstheme="minorHAnsi"/>
        </w:rPr>
        <w:t>,</w:t>
      </w:r>
      <w:r w:rsidRPr="00616A7B">
        <w:rPr>
          <w:rFonts w:asciiTheme="minorHAnsi" w:hAnsiTheme="minorHAnsi" w:cstheme="minorHAnsi"/>
        </w:rPr>
        <w:t xml:space="preserve"> and </w:t>
      </w:r>
      <w:r w:rsidR="007B4CCB" w:rsidRPr="00616A7B">
        <w:rPr>
          <w:rFonts w:asciiTheme="minorHAnsi" w:hAnsiTheme="minorHAnsi" w:cstheme="minorHAnsi"/>
        </w:rPr>
        <w:t>HD</w:t>
      </w:r>
      <w:r w:rsidR="00CD0C19" w:rsidRPr="00616A7B">
        <w:rPr>
          <w:rFonts w:asciiTheme="minorHAnsi" w:hAnsiTheme="minorHAnsi" w:cstheme="minorHAnsi"/>
        </w:rPr>
        <w:t>H</w:t>
      </w:r>
      <w:r w:rsidR="007B4CCB" w:rsidRPr="00616A7B">
        <w:rPr>
          <w:rFonts w:asciiTheme="minorHAnsi" w:hAnsiTheme="minorHAnsi" w:cstheme="minorHAnsi"/>
        </w:rPr>
        <w:t>6</w:t>
      </w:r>
      <w:r w:rsidR="000859CE">
        <w:rPr>
          <w:rFonts w:asciiTheme="minorHAnsi" w:hAnsiTheme="minorHAnsi" w:cstheme="minorHAnsi"/>
        </w:rPr>
        <w:t>0</w:t>
      </w:r>
      <w:r w:rsidRPr="00616A7B">
        <w:rPr>
          <w:rFonts w:asciiTheme="minorHAnsi" w:hAnsiTheme="minorHAnsi" w:cstheme="minorHAnsi"/>
        </w:rPr>
        <w:t>)</w:t>
      </w:r>
      <w:r w:rsidR="00C06AE3">
        <w:rPr>
          <w:rStyle w:val="FootnoteReference"/>
          <w:rFonts w:asciiTheme="minorHAnsi" w:hAnsiTheme="minorHAnsi"/>
        </w:rPr>
        <w:footnoteReference w:id="19"/>
      </w:r>
      <w:r w:rsidRPr="00616A7B">
        <w:rPr>
          <w:rFonts w:asciiTheme="minorHAnsi" w:hAnsiTheme="minorHAnsi" w:cstheme="minorHAnsi"/>
        </w:rPr>
        <w:t>;</w:t>
      </w:r>
    </w:p>
    <w:p w14:paraId="69F1B21F" w14:textId="4F0C9F12" w:rsidR="00616A7B" w:rsidRDefault="00616A7B" w:rsidP="00095AB1">
      <w:pPr>
        <w:pStyle w:val="ListParagraph"/>
        <w:numPr>
          <w:ilvl w:val="0"/>
          <w:numId w:val="36"/>
        </w:numPr>
        <w:spacing w:after="120"/>
        <w:rPr>
          <w:rFonts w:asciiTheme="minorHAnsi" w:hAnsiTheme="minorHAnsi" w:cstheme="minorHAnsi"/>
        </w:rPr>
      </w:pPr>
      <w:r>
        <w:rPr>
          <w:rFonts w:asciiTheme="minorHAnsi" w:hAnsiTheme="minorHAnsi" w:cstheme="minorHAnsi"/>
        </w:rPr>
        <w:t>Data for all months were included, rather than estimating separate models by month or season; and</w:t>
      </w:r>
    </w:p>
    <w:p w14:paraId="4A22C6B6" w14:textId="0B94068C" w:rsidR="00616A7B" w:rsidRPr="00616A7B" w:rsidRDefault="00616A7B" w:rsidP="00095AB1">
      <w:pPr>
        <w:pStyle w:val="ListParagraph"/>
        <w:numPr>
          <w:ilvl w:val="0"/>
          <w:numId w:val="36"/>
        </w:numPr>
        <w:spacing w:after="120"/>
        <w:rPr>
          <w:rFonts w:asciiTheme="minorHAnsi" w:hAnsiTheme="minorHAnsi" w:cstheme="minorHAnsi"/>
        </w:rPr>
      </w:pPr>
      <w:r w:rsidRPr="00616A7B">
        <w:rPr>
          <w:rFonts w:asciiTheme="minorHAnsi" w:hAnsiTheme="minorHAnsi" w:cstheme="minorHAnsi"/>
        </w:rPr>
        <w:t>M</w:t>
      </w:r>
      <w:r w:rsidR="00AB6498">
        <w:rPr>
          <w:rFonts w:asciiTheme="minorHAnsi" w:hAnsiTheme="minorHAnsi" w:cstheme="minorHAnsi"/>
        </w:rPr>
        <w:t>onth</w:t>
      </w:r>
      <w:r w:rsidR="00C06AE3">
        <w:rPr>
          <w:rFonts w:asciiTheme="minorHAnsi" w:hAnsiTheme="minorHAnsi" w:cstheme="minorHAnsi"/>
        </w:rPr>
        <w:t>-year</w:t>
      </w:r>
      <w:r w:rsidR="00EE4505" w:rsidRPr="00616A7B">
        <w:rPr>
          <w:rFonts w:asciiTheme="minorHAnsi" w:hAnsiTheme="minorHAnsi" w:cstheme="minorHAnsi"/>
        </w:rPr>
        <w:t xml:space="preserve"> indicator variables were added to account for</w:t>
      </w:r>
      <w:r w:rsidR="00AB6498">
        <w:rPr>
          <w:rFonts w:asciiTheme="minorHAnsi" w:hAnsiTheme="minorHAnsi" w:cstheme="minorHAnsi"/>
        </w:rPr>
        <w:t xml:space="preserve"> </w:t>
      </w:r>
      <w:r w:rsidR="00EE4505" w:rsidRPr="00616A7B">
        <w:rPr>
          <w:rFonts w:asciiTheme="minorHAnsi" w:hAnsiTheme="minorHAnsi" w:cstheme="minorHAnsi"/>
        </w:rPr>
        <w:t>monthly</w:t>
      </w:r>
      <w:r w:rsidR="00AB6498">
        <w:rPr>
          <w:rFonts w:asciiTheme="minorHAnsi" w:hAnsiTheme="minorHAnsi" w:cstheme="minorHAnsi"/>
        </w:rPr>
        <w:t xml:space="preserve"> and yearly</w:t>
      </w:r>
      <w:r w:rsidR="00EE4505" w:rsidRPr="00616A7B">
        <w:rPr>
          <w:rFonts w:asciiTheme="minorHAnsi" w:hAnsiTheme="minorHAnsi" w:cstheme="minorHAnsi"/>
        </w:rPr>
        <w:t xml:space="preserve"> differences in usage patterns</w:t>
      </w:r>
      <w:r w:rsidR="007B4CCB" w:rsidRPr="00616A7B">
        <w:rPr>
          <w:rFonts w:asciiTheme="minorHAnsi" w:hAnsiTheme="minorHAnsi" w:cstheme="minorHAnsi"/>
        </w:rPr>
        <w:t xml:space="preserve">. </w:t>
      </w:r>
    </w:p>
    <w:p w14:paraId="548D08C8" w14:textId="6F516424" w:rsidR="000E6094" w:rsidRDefault="00616A7B" w:rsidP="00095AB1">
      <w:pPr>
        <w:spacing w:after="120"/>
      </w:pPr>
      <w:r>
        <w:t>The resulting equations allow the simulation of “observed” (</w:t>
      </w:r>
      <w:r>
        <w:rPr>
          <w:i/>
        </w:rPr>
        <w:t>i.e.</w:t>
      </w:r>
      <w:r>
        <w:t xml:space="preserve">, post TOU load impacts) loads under the four different weather scenarios. </w:t>
      </w:r>
      <w:r w:rsidR="00976434" w:rsidRPr="00976434">
        <w:t xml:space="preserve">Reference loads </w:t>
      </w:r>
      <w:r>
        <w:t xml:space="preserve">for the alternative scenarios </w:t>
      </w:r>
      <w:r w:rsidR="00976434" w:rsidRPr="00976434">
        <w:t xml:space="preserve">were then obtained by adjusting the above </w:t>
      </w:r>
      <w:r>
        <w:t xml:space="preserve">observed loads by </w:t>
      </w:r>
      <w:r w:rsidR="00976434" w:rsidRPr="00976434">
        <w:t xml:space="preserve">the </w:t>
      </w:r>
      <w:r>
        <w:t xml:space="preserve">relevant </w:t>
      </w:r>
      <w:r w:rsidR="00976434" w:rsidRPr="00976434">
        <w:lastRenderedPageBreak/>
        <w:t xml:space="preserve">estimated </w:t>
      </w:r>
      <w:r>
        <w:t xml:space="preserve">percentage </w:t>
      </w:r>
      <w:r w:rsidR="00976434" w:rsidRPr="00976434">
        <w:t xml:space="preserve">TOU load impacts from the </w:t>
      </w:r>
      <w:r w:rsidR="00976434" w:rsidRPr="00976434">
        <w:rPr>
          <w:i/>
        </w:rPr>
        <w:t>ex-post</w:t>
      </w:r>
      <w:r w:rsidR="00976434" w:rsidRPr="00976434">
        <w:t xml:space="preserve"> analysis</w:t>
      </w:r>
      <w:r>
        <w:t xml:space="preserve"> (seasonal values for TOU, and monthly values for </w:t>
      </w:r>
      <w:r w:rsidR="005E5D58">
        <w:t>CPP</w:t>
      </w:r>
      <w:r>
        <w:t>)</w:t>
      </w:r>
      <w:r w:rsidR="00976434" w:rsidRPr="00976434">
        <w:t>.</w:t>
      </w:r>
      <w:r w:rsidR="00976434">
        <w:rPr>
          <w:rStyle w:val="FootnoteReference"/>
        </w:rPr>
        <w:footnoteReference w:id="20"/>
      </w:r>
      <w:r w:rsidR="00976434" w:rsidRPr="00976434">
        <w:t xml:space="preserve"> </w:t>
      </w:r>
    </w:p>
    <w:p w14:paraId="0754655D" w14:textId="1A918517" w:rsidR="006E4CBB" w:rsidRDefault="006E4CBB" w:rsidP="00095AB1">
      <w:pPr>
        <w:pStyle w:val="Heading3"/>
        <w:spacing w:after="120"/>
        <w:rPr>
          <w:sz w:val="24"/>
          <w:szCs w:val="24"/>
        </w:rPr>
      </w:pPr>
      <w:bookmarkStart w:id="102" w:name="_Toc509576768"/>
      <w:r>
        <w:rPr>
          <w:sz w:val="24"/>
          <w:szCs w:val="24"/>
        </w:rPr>
        <w:t>6</w:t>
      </w:r>
      <w:r w:rsidRPr="0023738E">
        <w:rPr>
          <w:sz w:val="24"/>
          <w:szCs w:val="24"/>
        </w:rPr>
        <w:t>.1.</w:t>
      </w:r>
      <w:r>
        <w:rPr>
          <w:sz w:val="24"/>
          <w:szCs w:val="24"/>
        </w:rPr>
        <w:t>3</w:t>
      </w:r>
      <w:r w:rsidRPr="0023738E">
        <w:rPr>
          <w:sz w:val="24"/>
          <w:szCs w:val="24"/>
        </w:rPr>
        <w:t xml:space="preserve"> </w:t>
      </w:r>
      <w:r>
        <w:rPr>
          <w:sz w:val="24"/>
          <w:szCs w:val="24"/>
        </w:rPr>
        <w:t>Enrollment forecast</w:t>
      </w:r>
      <w:bookmarkEnd w:id="102"/>
    </w:p>
    <w:p w14:paraId="2891C420" w14:textId="0C3282D3" w:rsidR="006E4CBB" w:rsidRDefault="006E4CBB" w:rsidP="00095AB1">
      <w:pPr>
        <w:spacing w:after="120"/>
      </w:pPr>
      <w:r>
        <w:t xml:space="preserve">Figure 6.1 shows SDG&amp;E’s enrollment forecasts for the TOU and </w:t>
      </w:r>
      <w:r w:rsidR="005E5D58">
        <w:t>CPP</w:t>
      </w:r>
      <w:r>
        <w:t xml:space="preserve"> rates. Enrollment is anticipated to be </w:t>
      </w:r>
      <w:r w:rsidR="00182142">
        <w:t>essentially flat for TOU</w:t>
      </w:r>
      <w:r w:rsidR="00A064B6">
        <w:t xml:space="preserve">, while enrollment in </w:t>
      </w:r>
      <w:r w:rsidR="005E5D58">
        <w:t>CPP</w:t>
      </w:r>
      <w:r w:rsidR="00A064B6">
        <w:t xml:space="preserve"> is forecasted to nearly triple by the end of the </w:t>
      </w:r>
      <w:r w:rsidR="00316AA4">
        <w:t xml:space="preserve">forecast </w:t>
      </w:r>
      <w:r w:rsidR="00A064B6">
        <w:t xml:space="preserve">period. Enrollment is expected to be </w:t>
      </w:r>
      <w:r>
        <w:t>somewhat greater in the Coastal climate zone than in the Inland for both rates.</w:t>
      </w:r>
    </w:p>
    <w:p w14:paraId="3BC66430" w14:textId="1C55ACBC" w:rsidR="00701C8B" w:rsidRDefault="006E4CBB" w:rsidP="00701C8B">
      <w:pPr>
        <w:pStyle w:val="FigureCaption"/>
        <w:keepNext/>
      </w:pPr>
      <w:bookmarkStart w:id="103" w:name="_Toc509576825"/>
      <w:r>
        <w:t>Figure 6</w:t>
      </w:r>
      <w:r w:rsidRPr="003E379F">
        <w:t>.</w:t>
      </w:r>
      <w:r>
        <w:t>1</w:t>
      </w:r>
      <w:r w:rsidRPr="003E379F">
        <w:t xml:space="preserve">: </w:t>
      </w:r>
      <w:r>
        <w:t xml:space="preserve">Enrollments in </w:t>
      </w:r>
      <w:r w:rsidR="00316AA4">
        <w:t xml:space="preserve">TOU and </w:t>
      </w:r>
      <w:r w:rsidR="005E5D58">
        <w:t>CPP</w:t>
      </w:r>
      <w:r w:rsidR="00701C8B">
        <w:t xml:space="preserve"> Rates</w:t>
      </w:r>
      <w:bookmarkEnd w:id="103"/>
    </w:p>
    <w:p w14:paraId="0100C4B6" w14:textId="77777777" w:rsidR="006E4CBB" w:rsidRDefault="0020291A" w:rsidP="00443184">
      <w:pPr>
        <w:keepNext/>
        <w:spacing w:after="120"/>
        <w:jc w:val="center"/>
      </w:pPr>
      <w:r>
        <w:rPr>
          <w:noProof/>
        </w:rPr>
        <w:drawing>
          <wp:inline distT="0" distB="0" distL="0" distR="0" wp14:anchorId="490D64C7" wp14:editId="6C35802D">
            <wp:extent cx="5029835" cy="32004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29835" cy="3200400"/>
                    </a:xfrm>
                    <a:prstGeom prst="rect">
                      <a:avLst/>
                    </a:prstGeom>
                    <a:noFill/>
                  </pic:spPr>
                </pic:pic>
              </a:graphicData>
            </a:graphic>
          </wp:inline>
        </w:drawing>
      </w:r>
    </w:p>
    <w:p w14:paraId="5745ED03" w14:textId="1BAAD596" w:rsidR="000E6094" w:rsidRDefault="008771A7" w:rsidP="00095AB1">
      <w:pPr>
        <w:pStyle w:val="Heading2"/>
        <w:keepLines/>
        <w:spacing w:after="120"/>
      </w:pPr>
      <w:bookmarkStart w:id="104" w:name="_Toc509576769"/>
      <w:r>
        <w:t>6</w:t>
      </w:r>
      <w:r w:rsidR="00A863FF">
        <w:t>.</w:t>
      </w:r>
      <w:r w:rsidR="00BA285E">
        <w:t>2</w:t>
      </w:r>
      <w:r w:rsidR="00A863FF">
        <w:t xml:space="preserve"> </w:t>
      </w:r>
      <w:r w:rsidR="0023738E">
        <w:t>Ex-Ante</w:t>
      </w:r>
      <w:r w:rsidR="004F133A">
        <w:t xml:space="preserve"> </w:t>
      </w:r>
      <w:r w:rsidR="00D81CEB">
        <w:t>load impacts –</w:t>
      </w:r>
      <w:r w:rsidR="000B36A2">
        <w:t xml:space="preserve"> Residential</w:t>
      </w:r>
      <w:r w:rsidR="00D81CEB">
        <w:t xml:space="preserve"> CPP</w:t>
      </w:r>
      <w:bookmarkEnd w:id="104"/>
    </w:p>
    <w:p w14:paraId="4EEDC4BE" w14:textId="3BD310EE" w:rsidR="00332D84" w:rsidRDefault="00E82A10" w:rsidP="00095AB1">
      <w:pPr>
        <w:spacing w:after="120"/>
      </w:pPr>
      <w:r>
        <w:t xml:space="preserve">This subsection summarizes the </w:t>
      </w:r>
      <w:r w:rsidRPr="00E82A10">
        <w:rPr>
          <w:i/>
        </w:rPr>
        <w:t>ex-ante</w:t>
      </w:r>
      <w:r>
        <w:t xml:space="preserve"> load impact forecasts for future CPP event days, for customers anticipated to be enrolled in </w:t>
      </w:r>
      <w:r w:rsidR="005E5D58">
        <w:t>CPP</w:t>
      </w:r>
      <w:r>
        <w:t xml:space="preserve">.  </w:t>
      </w:r>
      <w:r w:rsidR="00BD57F7">
        <w:t xml:space="preserve">Figure 6.2 illustrates the </w:t>
      </w:r>
      <w:r w:rsidR="00526A24">
        <w:t xml:space="preserve">aggregate </w:t>
      </w:r>
      <w:r w:rsidR="00BD57F7">
        <w:t xml:space="preserve">reference load, </w:t>
      </w:r>
      <w:r w:rsidR="00332D84">
        <w:t xml:space="preserve">event-day </w:t>
      </w:r>
      <w:r w:rsidR="00BD57F7">
        <w:t>load</w:t>
      </w:r>
      <w:r w:rsidR="00332D84">
        <w:t>, and estimated load impact for an August peak day in 2018 in the SDG&amp;E 1-in-2 weather scenario.</w:t>
      </w:r>
      <w:r w:rsidR="00111A73">
        <w:t xml:space="preserve"> The average event-period percentage load impact is </w:t>
      </w:r>
      <w:r w:rsidR="00E849F9">
        <w:t>9</w:t>
      </w:r>
      <w:r w:rsidR="00111A73">
        <w:t xml:space="preserve"> percent.</w:t>
      </w:r>
    </w:p>
    <w:p w14:paraId="7A417A58" w14:textId="77777777" w:rsidR="00332D84" w:rsidRDefault="00332D84" w:rsidP="00095AB1">
      <w:pPr>
        <w:spacing w:after="120"/>
      </w:pPr>
    </w:p>
    <w:p w14:paraId="20EBD994" w14:textId="4BC779BA" w:rsidR="00332D84" w:rsidRDefault="00BD57F7" w:rsidP="00095AB1">
      <w:pPr>
        <w:pStyle w:val="FigureCaption"/>
        <w:keepNext/>
      </w:pPr>
      <w:r>
        <w:lastRenderedPageBreak/>
        <w:t xml:space="preserve"> </w:t>
      </w:r>
      <w:bookmarkStart w:id="105" w:name="_Toc509576826"/>
      <w:r w:rsidR="00332D84" w:rsidRPr="00C32E38">
        <w:t xml:space="preserve">Figure 6.2: Aggregate Hourly Loads and </w:t>
      </w:r>
      <w:r w:rsidR="006D4EEC" w:rsidRPr="00C32E38">
        <w:t xml:space="preserve">CPP </w:t>
      </w:r>
      <w:r w:rsidR="00332D84" w:rsidRPr="00C32E38">
        <w:t>Load Impacts (MW</w:t>
      </w:r>
      <w:r w:rsidR="00C8019E">
        <w:t>h/h</w:t>
      </w:r>
      <w:r w:rsidR="00332D84" w:rsidRPr="00C32E38">
        <w:t xml:space="preserve">) – </w:t>
      </w:r>
      <w:r w:rsidR="00332D84" w:rsidRPr="00C32E38">
        <w:br/>
        <w:t>(</w:t>
      </w:r>
      <w:r w:rsidR="00332D84" w:rsidRPr="00C32E38">
        <w:rPr>
          <w:i/>
        </w:rPr>
        <w:t>August 201</w:t>
      </w:r>
      <w:r w:rsidR="00493894">
        <w:rPr>
          <w:i/>
        </w:rPr>
        <w:t>9</w:t>
      </w:r>
      <w:r w:rsidR="00332D84" w:rsidRPr="00C32E38">
        <w:rPr>
          <w:i/>
        </w:rPr>
        <w:t xml:space="preserve"> SDG&amp;E 1-in-2 Peak Day</w:t>
      </w:r>
      <w:r w:rsidR="00332D84" w:rsidRPr="00C32E38">
        <w:t>)</w:t>
      </w:r>
      <w:bookmarkEnd w:id="105"/>
    </w:p>
    <w:p w14:paraId="27957502" w14:textId="366C6CBE" w:rsidR="00AE5620" w:rsidRDefault="00E1633D" w:rsidP="00095AB1">
      <w:pPr>
        <w:spacing w:after="120"/>
        <w:jc w:val="center"/>
      </w:pPr>
      <w:r>
        <w:rPr>
          <w:noProof/>
        </w:rPr>
        <w:drawing>
          <wp:inline distT="0" distB="0" distL="0" distR="0" wp14:anchorId="74B174C9" wp14:editId="78949262">
            <wp:extent cx="4980940" cy="3213100"/>
            <wp:effectExtent l="0" t="0" r="0" b="635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4980940" cy="3213100"/>
                    </a:xfrm>
                    <a:prstGeom prst="rect">
                      <a:avLst/>
                    </a:prstGeom>
                    <a:noFill/>
                  </pic:spPr>
                </pic:pic>
              </a:graphicData>
            </a:graphic>
          </wp:inline>
        </w:drawing>
      </w:r>
    </w:p>
    <w:p w14:paraId="60185CCE" w14:textId="77777777" w:rsidR="00D81CEB" w:rsidRDefault="00D81CEB" w:rsidP="00095AB1">
      <w:pPr>
        <w:spacing w:after="120"/>
      </w:pPr>
    </w:p>
    <w:p w14:paraId="6D191A22" w14:textId="3EF98E78" w:rsidR="000B49DE" w:rsidRDefault="000B49DE" w:rsidP="00095AB1">
      <w:pPr>
        <w:spacing w:after="120"/>
      </w:pPr>
      <w:r>
        <w:t xml:space="preserve">Figure 6.3 shows the monthly pattern of aggregate average </w:t>
      </w:r>
      <w:r w:rsidRPr="000B49DE">
        <w:rPr>
          <w:i/>
        </w:rPr>
        <w:t>ex-ante</w:t>
      </w:r>
      <w:r>
        <w:t xml:space="preserve"> load impacts (RA window) in 201</w:t>
      </w:r>
      <w:r w:rsidR="00D738AF">
        <w:t>9</w:t>
      </w:r>
      <w:r>
        <w:t xml:space="preserve"> for the SDG&amp;E 1-in-2 peak day. </w:t>
      </w:r>
      <w:r w:rsidR="00920E5F">
        <w:t>Load impacts are greatest in the summer months, reaching a maximum in August.</w:t>
      </w:r>
    </w:p>
    <w:p w14:paraId="30AD931F" w14:textId="7F947360" w:rsidR="00BD57F7" w:rsidRDefault="00BD57F7" w:rsidP="00095AB1">
      <w:pPr>
        <w:spacing w:after="120"/>
      </w:pPr>
    </w:p>
    <w:p w14:paraId="2E96B27A" w14:textId="77BF7AA9" w:rsidR="00332D84" w:rsidRDefault="00332D84" w:rsidP="00095AB1">
      <w:pPr>
        <w:pStyle w:val="FigureCaption"/>
        <w:keepNext/>
      </w:pPr>
      <w:bookmarkStart w:id="106" w:name="_Toc509576827"/>
      <w:r w:rsidRPr="003E379F">
        <w:lastRenderedPageBreak/>
        <w:t xml:space="preserve">Figure </w:t>
      </w:r>
      <w:r>
        <w:t>6</w:t>
      </w:r>
      <w:r w:rsidRPr="003E379F">
        <w:t>.</w:t>
      </w:r>
      <w:r>
        <w:t>3</w:t>
      </w:r>
      <w:r w:rsidRPr="003E379F">
        <w:t>: Aggregate</w:t>
      </w:r>
      <w:r w:rsidR="006D4EEC">
        <w:t xml:space="preserve"> CPP</w:t>
      </w:r>
      <w:r w:rsidRPr="003E379F">
        <w:t xml:space="preserve"> Load Impacts </w:t>
      </w:r>
      <w:r>
        <w:t>(M</w:t>
      </w:r>
      <w:r w:rsidRPr="003E379F">
        <w:t>W</w:t>
      </w:r>
      <w:r w:rsidR="00C8019E">
        <w:t>h/h</w:t>
      </w:r>
      <w:r w:rsidRPr="003E379F">
        <w:t>)</w:t>
      </w:r>
      <w:r w:rsidR="000B49DE">
        <w:t>, by Month</w:t>
      </w:r>
      <w:r w:rsidRPr="003E379F">
        <w:t xml:space="preserve"> – </w:t>
      </w:r>
      <w:r w:rsidRPr="003E379F">
        <w:br/>
        <w:t>(</w:t>
      </w:r>
      <w:r w:rsidR="00182142" w:rsidRPr="00182142">
        <w:rPr>
          <w:i/>
        </w:rPr>
        <w:t>2019</w:t>
      </w:r>
      <w:r w:rsidR="00182142">
        <w:t xml:space="preserve"> </w:t>
      </w:r>
      <w:r>
        <w:rPr>
          <w:i/>
        </w:rPr>
        <w:t>SDG&amp;E 1-in-2 Peak Day</w:t>
      </w:r>
      <w:r w:rsidR="000B49DE">
        <w:rPr>
          <w:i/>
        </w:rPr>
        <w:t>, RA Window</w:t>
      </w:r>
      <w:r w:rsidRPr="003E379F">
        <w:t>)</w:t>
      </w:r>
      <w:bookmarkEnd w:id="106"/>
    </w:p>
    <w:p w14:paraId="1471C0D2" w14:textId="0A1AC9A7" w:rsidR="00AE5620" w:rsidRDefault="00072618" w:rsidP="00095AB1">
      <w:pPr>
        <w:spacing w:after="120"/>
        <w:jc w:val="center"/>
      </w:pPr>
      <w:r>
        <w:rPr>
          <w:noProof/>
        </w:rPr>
        <w:drawing>
          <wp:inline distT="0" distB="0" distL="0" distR="0" wp14:anchorId="4E866BB2" wp14:editId="40B6B541">
            <wp:extent cx="5029835" cy="32004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029835" cy="3200400"/>
                    </a:xfrm>
                    <a:prstGeom prst="rect">
                      <a:avLst/>
                    </a:prstGeom>
                    <a:noFill/>
                  </pic:spPr>
                </pic:pic>
              </a:graphicData>
            </a:graphic>
          </wp:inline>
        </w:drawing>
      </w:r>
    </w:p>
    <w:p w14:paraId="1E5EBBFB" w14:textId="4CA2F62B" w:rsidR="00332D84" w:rsidRDefault="00332D84" w:rsidP="00095AB1">
      <w:pPr>
        <w:keepNext/>
        <w:spacing w:after="120"/>
        <w:jc w:val="center"/>
      </w:pPr>
    </w:p>
    <w:p w14:paraId="7AC3C191" w14:textId="41E890D1" w:rsidR="000B49DE" w:rsidRDefault="000B49DE" w:rsidP="00095AB1">
      <w:pPr>
        <w:spacing w:after="120"/>
      </w:pPr>
      <w:r>
        <w:t xml:space="preserve">Figure 6.4 illustrates the </w:t>
      </w:r>
      <w:r w:rsidR="00920E5F">
        <w:t xml:space="preserve">growth in forecast CPP load impacts, and the </w:t>
      </w:r>
      <w:r>
        <w:t xml:space="preserve">relatively minor differences between the aggregate </w:t>
      </w:r>
      <w:r w:rsidRPr="000B49DE">
        <w:rPr>
          <w:i/>
        </w:rPr>
        <w:t>ex-ante</w:t>
      </w:r>
      <w:r>
        <w:t xml:space="preserve"> load impacts for the alternative weather scenarios over the forecast period.</w:t>
      </w:r>
      <w:r w:rsidR="00526A24">
        <w:rPr>
          <w:rStyle w:val="FootnoteReference"/>
        </w:rPr>
        <w:footnoteReference w:id="21"/>
      </w:r>
      <w:r w:rsidR="00647A7F">
        <w:t xml:space="preserve"> In each year, the Utility 1-in-10 scenario corresponds with the largest load impacts. </w:t>
      </w:r>
    </w:p>
    <w:p w14:paraId="5A97D9BE" w14:textId="77777777" w:rsidR="00782249" w:rsidRDefault="00782249" w:rsidP="00095AB1">
      <w:pPr>
        <w:spacing w:after="120"/>
      </w:pPr>
    </w:p>
    <w:p w14:paraId="1EAA32C7" w14:textId="364C5015" w:rsidR="000B49DE" w:rsidRDefault="000B49DE" w:rsidP="00095AB1">
      <w:pPr>
        <w:pStyle w:val="FigureCaption"/>
        <w:keepNext/>
      </w:pPr>
      <w:bookmarkStart w:id="107" w:name="_Toc509576828"/>
      <w:r w:rsidRPr="003E379F">
        <w:lastRenderedPageBreak/>
        <w:t xml:space="preserve">Figure </w:t>
      </w:r>
      <w:r>
        <w:t>6</w:t>
      </w:r>
      <w:r w:rsidRPr="003E379F">
        <w:t>.</w:t>
      </w:r>
      <w:r>
        <w:t>4</w:t>
      </w:r>
      <w:r w:rsidRPr="003E379F">
        <w:t xml:space="preserve">: Aggregate </w:t>
      </w:r>
      <w:r w:rsidR="00526A24">
        <w:t xml:space="preserve">CPP </w:t>
      </w:r>
      <w:r w:rsidRPr="003E379F">
        <w:t xml:space="preserve">Load Impacts </w:t>
      </w:r>
      <w:r>
        <w:t>(M</w:t>
      </w:r>
      <w:r w:rsidRPr="003E379F">
        <w:t>W</w:t>
      </w:r>
      <w:r w:rsidR="00AB7836">
        <w:t>h/h</w:t>
      </w:r>
      <w:r w:rsidRPr="003E379F">
        <w:t>)</w:t>
      </w:r>
      <w:r>
        <w:t>, by Year and Weather Scenario</w:t>
      </w:r>
      <w:r w:rsidRPr="003E379F">
        <w:t xml:space="preserve"> </w:t>
      </w:r>
      <w:r w:rsidR="00647A7F" w:rsidRPr="003E379F">
        <w:t xml:space="preserve">– </w:t>
      </w:r>
      <w:r w:rsidR="00647A7F">
        <w:t>(</w:t>
      </w:r>
      <w:r w:rsidR="00D738AF">
        <w:rPr>
          <w:i/>
        </w:rPr>
        <w:t>August</w:t>
      </w:r>
      <w:r>
        <w:rPr>
          <w:i/>
        </w:rPr>
        <w:t xml:space="preserve"> Peak Day, RA Window</w:t>
      </w:r>
      <w:r w:rsidRPr="003E379F">
        <w:t>)</w:t>
      </w:r>
      <w:bookmarkEnd w:id="107"/>
    </w:p>
    <w:p w14:paraId="4827B375" w14:textId="20703921" w:rsidR="00AE5620" w:rsidRDefault="00647A7F" w:rsidP="00095AB1">
      <w:pPr>
        <w:spacing w:after="120"/>
        <w:jc w:val="center"/>
      </w:pPr>
      <w:r>
        <w:rPr>
          <w:noProof/>
        </w:rPr>
        <w:drawing>
          <wp:inline distT="0" distB="0" distL="0" distR="0" wp14:anchorId="59274ADF" wp14:editId="76B47B92">
            <wp:extent cx="5029835" cy="32004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5029835" cy="3200400"/>
                    </a:xfrm>
                    <a:prstGeom prst="rect">
                      <a:avLst/>
                    </a:prstGeom>
                    <a:noFill/>
                  </pic:spPr>
                </pic:pic>
              </a:graphicData>
            </a:graphic>
          </wp:inline>
        </w:drawing>
      </w:r>
    </w:p>
    <w:p w14:paraId="6FEC44FC" w14:textId="46677A71" w:rsidR="000B49DE" w:rsidRPr="00D3703B" w:rsidRDefault="000B49DE" w:rsidP="00095AB1">
      <w:pPr>
        <w:spacing w:after="120"/>
        <w:jc w:val="center"/>
      </w:pPr>
    </w:p>
    <w:p w14:paraId="70F8E7C7" w14:textId="40299E53" w:rsidR="007B65A8" w:rsidRDefault="00D81CEB" w:rsidP="00095AB1">
      <w:pPr>
        <w:pStyle w:val="Heading2"/>
        <w:spacing w:after="120"/>
      </w:pPr>
      <w:bookmarkStart w:id="108" w:name="_Toc509576770"/>
      <w:r>
        <w:t>6.3</w:t>
      </w:r>
      <w:r w:rsidR="007B65A8">
        <w:t xml:space="preserve"> </w:t>
      </w:r>
      <w:r w:rsidR="0023738E">
        <w:t>Ex-Ante</w:t>
      </w:r>
      <w:r w:rsidR="007B65A8">
        <w:t xml:space="preserve"> </w:t>
      </w:r>
      <w:r>
        <w:t>l</w:t>
      </w:r>
      <w:r w:rsidR="007B65A8">
        <w:t xml:space="preserve">oad </w:t>
      </w:r>
      <w:r>
        <w:t>i</w:t>
      </w:r>
      <w:r w:rsidR="007B65A8">
        <w:t xml:space="preserve">mpacts – </w:t>
      </w:r>
      <w:r w:rsidR="007B65A8" w:rsidRPr="005205E8">
        <w:t>Residential TOU</w:t>
      </w:r>
      <w:bookmarkEnd w:id="108"/>
      <w:r w:rsidR="007B65A8">
        <w:t xml:space="preserve"> </w:t>
      </w:r>
    </w:p>
    <w:p w14:paraId="6B63E132" w14:textId="7A1398CE" w:rsidR="00E82A10" w:rsidRDefault="00E82A10" w:rsidP="00095AB1">
      <w:pPr>
        <w:spacing w:after="120"/>
      </w:pPr>
      <w:r>
        <w:t xml:space="preserve">This subsection summarizes the </w:t>
      </w:r>
      <w:r w:rsidRPr="00E82A10">
        <w:rPr>
          <w:i/>
        </w:rPr>
        <w:t>ex-ante</w:t>
      </w:r>
      <w:r>
        <w:t xml:space="preserve"> </w:t>
      </w:r>
      <w:r w:rsidR="00644147">
        <w:t xml:space="preserve">TOU </w:t>
      </w:r>
      <w:r>
        <w:t xml:space="preserve">peak load impact forecasts for customers anticipated to be enrolled in </w:t>
      </w:r>
      <w:r w:rsidR="00644147">
        <w:t xml:space="preserve">both </w:t>
      </w:r>
      <w:r>
        <w:t xml:space="preserve">the TOU and </w:t>
      </w:r>
      <w:r w:rsidR="005E5D58">
        <w:t>CPP</w:t>
      </w:r>
      <w:r>
        <w:t xml:space="preserve"> rates</w:t>
      </w:r>
      <w:r w:rsidR="00B016A8">
        <w:t xml:space="preserve"> (TOU-DR and TOU-DR-P)</w:t>
      </w:r>
      <w:r>
        <w:t xml:space="preserve">. </w:t>
      </w:r>
      <w:r w:rsidR="00111A73">
        <w:t xml:space="preserve">Figure 6.5 shows aggregate loads and load impacts </w:t>
      </w:r>
      <w:r w:rsidR="00C279CB">
        <w:t>for TOU</w:t>
      </w:r>
      <w:r w:rsidR="000F6D2C">
        <w:t xml:space="preserve"> and CPP customers</w:t>
      </w:r>
      <w:r w:rsidR="00C279CB">
        <w:t>, in 201</w:t>
      </w:r>
      <w:r w:rsidR="00B016A8">
        <w:t>9</w:t>
      </w:r>
      <w:r w:rsidR="00C279CB">
        <w:t xml:space="preserve"> for an August SDG&amp;E 1-in-2 peak day. </w:t>
      </w:r>
      <w:r w:rsidR="00C279CB" w:rsidRPr="00E849F9">
        <w:t>T</w:t>
      </w:r>
      <w:r w:rsidR="00E849F9" w:rsidRPr="00E849F9">
        <w:t>he average peak load impact is 9</w:t>
      </w:r>
      <w:r w:rsidR="00C279CB" w:rsidRPr="00E849F9">
        <w:t xml:space="preserve"> percent of the reference load. </w:t>
      </w:r>
    </w:p>
    <w:p w14:paraId="6460DB49" w14:textId="77777777" w:rsidR="00E82A10" w:rsidRDefault="00E82A10" w:rsidP="00095AB1">
      <w:pPr>
        <w:spacing w:after="120"/>
      </w:pPr>
    </w:p>
    <w:p w14:paraId="2DE57F76" w14:textId="4EDAFC78" w:rsidR="00E82A10" w:rsidRDefault="00E82A10" w:rsidP="00095AB1">
      <w:pPr>
        <w:pStyle w:val="FigureCaption"/>
        <w:keepNext/>
      </w:pPr>
      <w:bookmarkStart w:id="109" w:name="_Toc509576829"/>
      <w:r w:rsidRPr="007221D5">
        <w:lastRenderedPageBreak/>
        <w:t>Figure 6.5: Aggregate Hourly Loads and</w:t>
      </w:r>
      <w:r w:rsidR="006D4EEC" w:rsidRPr="007221D5">
        <w:t xml:space="preserve"> TOU</w:t>
      </w:r>
      <w:r w:rsidRPr="007221D5">
        <w:t xml:space="preserve"> Load Impacts (MW</w:t>
      </w:r>
      <w:r w:rsidR="009F44E4">
        <w:t>h/h</w:t>
      </w:r>
      <w:r w:rsidRPr="007221D5">
        <w:t>)</w:t>
      </w:r>
      <w:r w:rsidR="000F6D2C" w:rsidRPr="000F6D2C">
        <w:t xml:space="preserve"> </w:t>
      </w:r>
      <w:r w:rsidR="000F6D2C" w:rsidRPr="003E379F">
        <w:t xml:space="preserve">– </w:t>
      </w:r>
      <w:r w:rsidR="000F6D2C">
        <w:rPr>
          <w:i/>
        </w:rPr>
        <w:t xml:space="preserve">TOU-DR and TOU-DR-P Customers, </w:t>
      </w:r>
      <w:r w:rsidRPr="007221D5">
        <w:t>(</w:t>
      </w:r>
      <w:r w:rsidRPr="007221D5">
        <w:rPr>
          <w:i/>
        </w:rPr>
        <w:t>August 201</w:t>
      </w:r>
      <w:r w:rsidR="00B016A8">
        <w:rPr>
          <w:i/>
        </w:rPr>
        <w:t>9</w:t>
      </w:r>
      <w:r w:rsidRPr="007221D5">
        <w:rPr>
          <w:i/>
        </w:rPr>
        <w:t xml:space="preserve"> SDG&amp;E 1-in-2 Peak Day</w:t>
      </w:r>
      <w:r w:rsidRPr="007221D5">
        <w:t>)</w:t>
      </w:r>
      <w:bookmarkEnd w:id="109"/>
    </w:p>
    <w:p w14:paraId="529B65FF" w14:textId="7F63BBA2" w:rsidR="00E82A10" w:rsidRDefault="00BF56C1" w:rsidP="00095AB1">
      <w:pPr>
        <w:spacing w:after="120"/>
        <w:jc w:val="center"/>
      </w:pPr>
      <w:r>
        <w:rPr>
          <w:noProof/>
        </w:rPr>
        <w:drawing>
          <wp:inline distT="0" distB="0" distL="0" distR="0" wp14:anchorId="787AECEA" wp14:editId="30222F03">
            <wp:extent cx="4986655" cy="3213100"/>
            <wp:effectExtent l="0" t="0" r="4445" b="635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4986655" cy="3213100"/>
                    </a:xfrm>
                    <a:prstGeom prst="rect">
                      <a:avLst/>
                    </a:prstGeom>
                    <a:noFill/>
                  </pic:spPr>
                </pic:pic>
              </a:graphicData>
            </a:graphic>
          </wp:inline>
        </w:drawing>
      </w:r>
    </w:p>
    <w:p w14:paraId="10025B5D" w14:textId="6D741734" w:rsidR="004F0089" w:rsidRDefault="004F0089" w:rsidP="00182142">
      <w:pPr>
        <w:spacing w:after="120"/>
      </w:pPr>
    </w:p>
    <w:p w14:paraId="0AA54308" w14:textId="71FA3627" w:rsidR="00827DD7" w:rsidRPr="00A4590C" w:rsidRDefault="007F5EBE" w:rsidP="00095AB1">
      <w:pPr>
        <w:spacing w:after="120"/>
      </w:pPr>
      <w:r>
        <w:t>Figure 6.6</w:t>
      </w:r>
      <w:r w:rsidR="00827DD7">
        <w:t xml:space="preserve"> shows the monthly distributions of the peak load impacts (RA window) for </w:t>
      </w:r>
      <w:r w:rsidR="00DD2BF2">
        <w:t>TOU</w:t>
      </w:r>
      <w:r w:rsidR="00A4590C">
        <w:t xml:space="preserve"> and </w:t>
      </w:r>
      <w:r w:rsidR="00DD2BF2">
        <w:t>CPP</w:t>
      </w:r>
      <w:r w:rsidR="00A4590C">
        <w:t xml:space="preserve"> customers</w:t>
      </w:r>
      <w:r w:rsidR="00827DD7">
        <w:t xml:space="preserve">. Load impacts for </w:t>
      </w:r>
      <w:r w:rsidR="00DD2BF2">
        <w:t>CPP</w:t>
      </w:r>
      <w:r w:rsidR="00A4590C">
        <w:t xml:space="preserve"> customers</w:t>
      </w:r>
      <w:r w:rsidR="00827DD7">
        <w:t xml:space="preserve"> in particular are greatest in the summer months.</w:t>
      </w:r>
      <w:r w:rsidR="007C4A84">
        <w:t xml:space="preserve"> Results for the </w:t>
      </w:r>
      <w:r w:rsidR="00F23CC4">
        <w:t>winter</w:t>
      </w:r>
      <w:r w:rsidR="007C4A84">
        <w:t xml:space="preserve"> months </w:t>
      </w:r>
      <w:r w:rsidR="00A4590C">
        <w:t>vary considerably.</w:t>
      </w:r>
      <w:r w:rsidR="007C4A84">
        <w:t xml:space="preserve"> </w:t>
      </w:r>
      <w:r w:rsidR="00A4590C">
        <w:t xml:space="preserve">Customers on the </w:t>
      </w:r>
      <w:r w:rsidR="00DD2BF2">
        <w:t>CPP</w:t>
      </w:r>
      <w:r w:rsidR="00A4590C">
        <w:t xml:space="preserve"> rate respond with a decrease in usage over the RA window, while TOU</w:t>
      </w:r>
      <w:r w:rsidR="00DD2BF2">
        <w:t>-only</w:t>
      </w:r>
      <w:r w:rsidR="00A4590C">
        <w:t xml:space="preserve"> customers </w:t>
      </w:r>
      <w:r w:rsidR="00A4590C">
        <w:rPr>
          <w:i/>
        </w:rPr>
        <w:t>increase</w:t>
      </w:r>
      <w:r w:rsidR="00A4590C">
        <w:t xml:space="preserve"> their usage both during the RA window and during the TOU period.</w:t>
      </w:r>
      <w:r w:rsidR="00DF5AFB">
        <w:t xml:space="preserve"> The April load impact is reduced because the RA window for this month includes hour-ending 14, which is a super off-peak TOU period associated with an </w:t>
      </w:r>
      <w:r w:rsidR="00DF5AFB" w:rsidRPr="00DF5AFB">
        <w:rPr>
          <w:i/>
        </w:rPr>
        <w:t>increase</w:t>
      </w:r>
      <w:r w:rsidR="00DF5AFB">
        <w:t xml:space="preserve"> in </w:t>
      </w:r>
      <w:r w:rsidR="00DF5AFB" w:rsidRPr="00DF5AFB">
        <w:t>usage</w:t>
      </w:r>
      <w:r w:rsidR="00DF5AFB">
        <w:t xml:space="preserve">. </w:t>
      </w:r>
    </w:p>
    <w:p w14:paraId="5A474865" w14:textId="77777777" w:rsidR="00E82A10" w:rsidRDefault="00E82A10" w:rsidP="00095AB1">
      <w:pPr>
        <w:spacing w:after="120"/>
      </w:pPr>
    </w:p>
    <w:p w14:paraId="17ABB4DD" w14:textId="437A537E" w:rsidR="00D81CEB" w:rsidRDefault="00E82A10" w:rsidP="00095AB1">
      <w:pPr>
        <w:spacing w:after="120"/>
      </w:pPr>
      <w:r>
        <w:t xml:space="preserve"> </w:t>
      </w:r>
    </w:p>
    <w:p w14:paraId="46E1F33F" w14:textId="51AF874B" w:rsidR="00111A73" w:rsidRDefault="00827DD7" w:rsidP="00095AB1">
      <w:pPr>
        <w:pStyle w:val="FigureCaption"/>
        <w:keepNext/>
      </w:pPr>
      <w:bookmarkStart w:id="110" w:name="_Toc509576830"/>
      <w:r w:rsidRPr="003E379F">
        <w:lastRenderedPageBreak/>
        <w:t xml:space="preserve">Figure </w:t>
      </w:r>
      <w:r>
        <w:t>6</w:t>
      </w:r>
      <w:r w:rsidRPr="003E379F">
        <w:t>.</w:t>
      </w:r>
      <w:r w:rsidR="007F5EBE">
        <w:t>6</w:t>
      </w:r>
      <w:r w:rsidRPr="003E379F">
        <w:t xml:space="preserve">: </w:t>
      </w:r>
      <w:r w:rsidR="004F0089">
        <w:t xml:space="preserve">Aggregate </w:t>
      </w:r>
      <w:r w:rsidR="006D4EEC">
        <w:t xml:space="preserve">TOU </w:t>
      </w:r>
      <w:r w:rsidRPr="003E379F">
        <w:t xml:space="preserve">Load Impacts </w:t>
      </w:r>
      <w:r>
        <w:t>(M</w:t>
      </w:r>
      <w:r w:rsidRPr="003E379F">
        <w:t>W</w:t>
      </w:r>
      <w:r w:rsidR="00C16377">
        <w:t>h/h</w:t>
      </w:r>
      <w:r w:rsidRPr="003E379F">
        <w:t>)</w:t>
      </w:r>
      <w:r>
        <w:t xml:space="preserve"> by Month</w:t>
      </w:r>
      <w:r w:rsidR="00182142">
        <w:t xml:space="preserve"> </w:t>
      </w:r>
      <w:r w:rsidRPr="003E379F">
        <w:t xml:space="preserve">– </w:t>
      </w:r>
      <w:r w:rsidR="00DD2BF2">
        <w:rPr>
          <w:i/>
        </w:rPr>
        <w:t>TOU</w:t>
      </w:r>
      <w:r w:rsidR="0056633E">
        <w:rPr>
          <w:i/>
        </w:rPr>
        <w:t>-DR and TOU-DR-P</w:t>
      </w:r>
      <w:r w:rsidR="00451624">
        <w:rPr>
          <w:i/>
        </w:rPr>
        <w:t xml:space="preserve"> Customers, </w:t>
      </w:r>
      <w:r w:rsidRPr="003E379F">
        <w:t>(</w:t>
      </w:r>
      <w:r w:rsidR="004F0089">
        <w:rPr>
          <w:i/>
        </w:rPr>
        <w:t xml:space="preserve">2019 </w:t>
      </w:r>
      <w:r>
        <w:rPr>
          <w:i/>
        </w:rPr>
        <w:t>SDG&amp;E 1-in-2 Average Weekday</w:t>
      </w:r>
      <w:r w:rsidR="00182142">
        <w:rPr>
          <w:i/>
        </w:rPr>
        <w:t xml:space="preserve">, </w:t>
      </w:r>
      <w:r w:rsidR="00182142">
        <w:t>RA Window</w:t>
      </w:r>
      <w:r w:rsidRPr="003E379F">
        <w:t>)</w:t>
      </w:r>
      <w:bookmarkEnd w:id="110"/>
    </w:p>
    <w:p w14:paraId="7833648B" w14:textId="5F5ED483" w:rsidR="00F63517" w:rsidRDefault="000946F7" w:rsidP="00095AB1">
      <w:pPr>
        <w:spacing w:after="120"/>
        <w:jc w:val="center"/>
      </w:pPr>
      <w:r>
        <w:rPr>
          <w:noProof/>
        </w:rPr>
        <w:drawing>
          <wp:inline distT="0" distB="0" distL="0" distR="0" wp14:anchorId="029D3F4A" wp14:editId="540B9E00">
            <wp:extent cx="5029835" cy="32004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5029835" cy="3200400"/>
                    </a:xfrm>
                    <a:prstGeom prst="rect">
                      <a:avLst/>
                    </a:prstGeom>
                    <a:noFill/>
                  </pic:spPr>
                </pic:pic>
              </a:graphicData>
            </a:graphic>
          </wp:inline>
        </w:drawing>
      </w:r>
    </w:p>
    <w:p w14:paraId="222245C7" w14:textId="2E13114A" w:rsidR="00C279CB" w:rsidRDefault="00C279CB" w:rsidP="007F5EBE">
      <w:pPr>
        <w:spacing w:after="120"/>
      </w:pPr>
    </w:p>
    <w:p w14:paraId="0DE04305" w14:textId="29549ED6" w:rsidR="00827DD7" w:rsidRDefault="00965D24" w:rsidP="00095AB1">
      <w:pPr>
        <w:spacing w:after="120"/>
      </w:pPr>
      <w:r>
        <w:t>Figure 6.</w:t>
      </w:r>
      <w:r w:rsidR="007F5EBE">
        <w:t>7</w:t>
      </w:r>
      <w:r>
        <w:t xml:space="preserve"> shows comparable information for</w:t>
      </w:r>
      <w:r w:rsidR="003A509A">
        <w:t xml:space="preserve"> customers enrolled on the </w:t>
      </w:r>
      <w:r w:rsidR="00182142">
        <w:t xml:space="preserve">DR-TOD and </w:t>
      </w:r>
      <w:r w:rsidR="003A509A">
        <w:t>DR-TOD-P rate</w:t>
      </w:r>
      <w:r w:rsidR="00182142">
        <w:t>s</w:t>
      </w:r>
      <w:r>
        <w:t xml:space="preserve">, but extended over the full period. </w:t>
      </w:r>
      <w:r w:rsidR="007C4A84">
        <w:t>Similar patterns hold for the differences between scenarios.</w:t>
      </w:r>
    </w:p>
    <w:p w14:paraId="2FE24F8E" w14:textId="77777777" w:rsidR="00182142" w:rsidRDefault="00182142" w:rsidP="00095AB1">
      <w:pPr>
        <w:spacing w:after="120"/>
      </w:pPr>
    </w:p>
    <w:p w14:paraId="73DDCAED" w14:textId="7C991C9F" w:rsidR="00965D24" w:rsidRDefault="00965D24" w:rsidP="00095AB1">
      <w:pPr>
        <w:pStyle w:val="FigureCaption"/>
        <w:keepNext/>
      </w:pPr>
      <w:bookmarkStart w:id="111" w:name="_Toc509576831"/>
      <w:r w:rsidRPr="003E379F">
        <w:lastRenderedPageBreak/>
        <w:t xml:space="preserve">Figure </w:t>
      </w:r>
      <w:r>
        <w:t>6</w:t>
      </w:r>
      <w:r w:rsidRPr="003E379F">
        <w:t>.</w:t>
      </w:r>
      <w:r w:rsidR="007F5EBE">
        <w:t>7</w:t>
      </w:r>
      <w:r w:rsidRPr="003E379F">
        <w:t xml:space="preserve">: Aggregate </w:t>
      </w:r>
      <w:r w:rsidR="00F65C0E">
        <w:t xml:space="preserve">TOU </w:t>
      </w:r>
      <w:r w:rsidRPr="003E379F">
        <w:t xml:space="preserve">Load Impacts </w:t>
      </w:r>
      <w:r>
        <w:t>(M</w:t>
      </w:r>
      <w:r w:rsidRPr="003E379F">
        <w:t>W</w:t>
      </w:r>
      <w:r w:rsidR="00F21B70">
        <w:t>h/h</w:t>
      </w:r>
      <w:r w:rsidRPr="003E379F">
        <w:t>)</w:t>
      </w:r>
      <w:r w:rsidR="00182142">
        <w:t xml:space="preserve"> </w:t>
      </w:r>
      <w:r w:rsidR="00182142" w:rsidRPr="003E379F">
        <w:t xml:space="preserve">– </w:t>
      </w:r>
      <w:r w:rsidR="0056633E">
        <w:rPr>
          <w:i/>
        </w:rPr>
        <w:t xml:space="preserve">TOU-DR and </w:t>
      </w:r>
      <w:r w:rsidR="00727D10" w:rsidRPr="00182142">
        <w:rPr>
          <w:i/>
        </w:rPr>
        <w:t>TOU-DR-P</w:t>
      </w:r>
      <w:r w:rsidR="00F65C0E">
        <w:t xml:space="preserve"> Customers</w:t>
      </w:r>
      <w:r>
        <w:t>, by Year and Weather Scenario</w:t>
      </w:r>
      <w:r w:rsidRPr="003E379F">
        <w:t xml:space="preserve"> (</w:t>
      </w:r>
      <w:r>
        <w:rPr>
          <w:i/>
        </w:rPr>
        <w:t xml:space="preserve">Average </w:t>
      </w:r>
      <w:r w:rsidR="00B95E5F">
        <w:rPr>
          <w:i/>
        </w:rPr>
        <w:t xml:space="preserve">August </w:t>
      </w:r>
      <w:r>
        <w:rPr>
          <w:i/>
        </w:rPr>
        <w:t>Weekday, RA Window</w:t>
      </w:r>
      <w:r w:rsidRPr="003E379F">
        <w:t>)</w:t>
      </w:r>
      <w:bookmarkEnd w:id="111"/>
    </w:p>
    <w:p w14:paraId="6610C822" w14:textId="5A58486E" w:rsidR="00965D24" w:rsidRDefault="00CA157B" w:rsidP="00095AB1">
      <w:pPr>
        <w:spacing w:after="120"/>
        <w:jc w:val="center"/>
      </w:pPr>
      <w:r>
        <w:rPr>
          <w:noProof/>
        </w:rPr>
        <w:drawing>
          <wp:inline distT="0" distB="0" distL="0" distR="0" wp14:anchorId="1E11ABD1" wp14:editId="5F709455">
            <wp:extent cx="5029835" cy="3230880"/>
            <wp:effectExtent l="0" t="0" r="0" b="762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029835" cy="3230880"/>
                    </a:xfrm>
                    <a:prstGeom prst="rect">
                      <a:avLst/>
                    </a:prstGeom>
                    <a:noFill/>
                  </pic:spPr>
                </pic:pic>
              </a:graphicData>
            </a:graphic>
          </wp:inline>
        </w:drawing>
      </w:r>
    </w:p>
    <w:p w14:paraId="689ABCA1" w14:textId="77777777" w:rsidR="00827DD7" w:rsidRPr="00D81CEB" w:rsidRDefault="00827DD7" w:rsidP="00095AB1">
      <w:pPr>
        <w:spacing w:after="120"/>
      </w:pPr>
    </w:p>
    <w:p w14:paraId="7459ECFB" w14:textId="55969257" w:rsidR="002A561C" w:rsidRDefault="00D81CEB" w:rsidP="00095AB1">
      <w:pPr>
        <w:pStyle w:val="Heading1"/>
        <w:spacing w:after="120"/>
      </w:pPr>
      <w:bookmarkStart w:id="112" w:name="_Toc509576771"/>
      <w:r>
        <w:t>7</w:t>
      </w:r>
      <w:r w:rsidR="002A561C">
        <w:t>. Comparisons of Results</w:t>
      </w:r>
      <w:bookmarkEnd w:id="112"/>
    </w:p>
    <w:p w14:paraId="0BE864FB" w14:textId="77777777" w:rsidR="00E658D2" w:rsidRDefault="00E658D2" w:rsidP="00E658D2">
      <w:r>
        <w:t>In this section, we present several comparisons of load impacts for each utility:</w:t>
      </w:r>
    </w:p>
    <w:p w14:paraId="6D76AF86" w14:textId="77777777" w:rsidR="00E658D2" w:rsidRDefault="00E658D2" w:rsidP="00E658D2">
      <w:pPr>
        <w:numPr>
          <w:ilvl w:val="0"/>
          <w:numId w:val="10"/>
        </w:numPr>
      </w:pPr>
      <w:r w:rsidRPr="000F1678">
        <w:rPr>
          <w:i/>
        </w:rPr>
        <w:t>Ex-post</w:t>
      </w:r>
      <w:r>
        <w:t xml:space="preserve"> load impacts from the current and previous studies;</w:t>
      </w:r>
    </w:p>
    <w:p w14:paraId="7D388650" w14:textId="77777777" w:rsidR="00E658D2" w:rsidRDefault="00E658D2" w:rsidP="00E658D2">
      <w:pPr>
        <w:numPr>
          <w:ilvl w:val="0"/>
          <w:numId w:val="10"/>
        </w:numPr>
      </w:pPr>
      <w:r w:rsidRPr="000F1678">
        <w:rPr>
          <w:i/>
        </w:rPr>
        <w:t>Ex-ante</w:t>
      </w:r>
      <w:r>
        <w:t xml:space="preserve"> load impacts from the current and previous studies; </w:t>
      </w:r>
    </w:p>
    <w:p w14:paraId="7C8594C8" w14:textId="77777777" w:rsidR="00E658D2" w:rsidRDefault="00E658D2" w:rsidP="00E658D2">
      <w:pPr>
        <w:numPr>
          <w:ilvl w:val="0"/>
          <w:numId w:val="10"/>
        </w:numPr>
      </w:pPr>
      <w:r>
        <w:t xml:space="preserve">Previous </w:t>
      </w:r>
      <w:r w:rsidRPr="000F1678">
        <w:rPr>
          <w:i/>
        </w:rPr>
        <w:t>ex-ante</w:t>
      </w:r>
      <w:r>
        <w:t xml:space="preserve"> and current </w:t>
      </w:r>
      <w:r w:rsidRPr="000F1678">
        <w:rPr>
          <w:i/>
        </w:rPr>
        <w:t>ex-post</w:t>
      </w:r>
      <w:r>
        <w:t xml:space="preserve"> load impacts; and</w:t>
      </w:r>
    </w:p>
    <w:p w14:paraId="2BA9C840" w14:textId="77777777" w:rsidR="00E658D2" w:rsidRDefault="00E658D2" w:rsidP="00E658D2">
      <w:pPr>
        <w:numPr>
          <w:ilvl w:val="0"/>
          <w:numId w:val="10"/>
        </w:numPr>
      </w:pPr>
      <w:r>
        <w:t xml:space="preserve">Current </w:t>
      </w:r>
      <w:r w:rsidRPr="000F1678">
        <w:rPr>
          <w:i/>
        </w:rPr>
        <w:t>ex-post</w:t>
      </w:r>
      <w:r>
        <w:t xml:space="preserve"> and </w:t>
      </w:r>
      <w:r w:rsidRPr="000F1678">
        <w:rPr>
          <w:i/>
        </w:rPr>
        <w:t>ex-ante</w:t>
      </w:r>
      <w:r>
        <w:t xml:space="preserve"> load impacts.</w:t>
      </w:r>
    </w:p>
    <w:p w14:paraId="2B740203" w14:textId="77777777" w:rsidR="00E658D2" w:rsidRDefault="00E658D2" w:rsidP="00E658D2">
      <w:r>
        <w:t xml:space="preserve">In the above list, “current study” refers to this report, which is based on findings from the 2017 program year; and “previous study” refers to the report that was developed following the 2016 program year. </w:t>
      </w:r>
    </w:p>
    <w:p w14:paraId="1BBB4AC1" w14:textId="1EC2CE70" w:rsidR="002A561C" w:rsidRDefault="00D81CEB" w:rsidP="00095AB1">
      <w:pPr>
        <w:pStyle w:val="Heading2"/>
        <w:spacing w:after="120"/>
      </w:pPr>
      <w:bookmarkStart w:id="113" w:name="_Toc509576772"/>
      <w:r>
        <w:t>7</w:t>
      </w:r>
      <w:r w:rsidR="002A561C">
        <w:t xml:space="preserve">.1 </w:t>
      </w:r>
      <w:r w:rsidR="000B36A2">
        <w:t xml:space="preserve">Residential </w:t>
      </w:r>
      <w:r w:rsidR="00202DFD">
        <w:t>CPP</w:t>
      </w:r>
      <w:bookmarkEnd w:id="113"/>
    </w:p>
    <w:p w14:paraId="3276638C" w14:textId="6EF0C1E0" w:rsidR="00E658D2" w:rsidRDefault="00E658D2" w:rsidP="00E658D2">
      <w:pPr>
        <w:pStyle w:val="Heading3"/>
        <w:rPr>
          <w:i/>
        </w:rPr>
      </w:pPr>
      <w:bookmarkStart w:id="114" w:name="_Toc509576773"/>
      <w:r>
        <w:t xml:space="preserve">7.1.1 Previous versus current </w:t>
      </w:r>
      <w:r>
        <w:rPr>
          <w:i/>
        </w:rPr>
        <w:t>ex-post</w:t>
      </w:r>
      <w:bookmarkEnd w:id="114"/>
    </w:p>
    <w:p w14:paraId="254AAD01" w14:textId="180A47AA" w:rsidR="00473271" w:rsidRPr="00473271" w:rsidRDefault="00473271" w:rsidP="00473271">
      <w:r>
        <w:t xml:space="preserve">Table 7.1 shows the average event-hour reference loads and CPP load impacts for the average </w:t>
      </w:r>
      <w:r w:rsidR="00C9000F">
        <w:t xml:space="preserve">weekday </w:t>
      </w:r>
      <w:r>
        <w:t xml:space="preserve">event during the current and previous program years. The aggregate enrollments increased in the </w:t>
      </w:r>
      <w:r w:rsidR="00846952">
        <w:t xml:space="preserve">current program which also increase reference loads and CPP load impacts. The per-customer reference load </w:t>
      </w:r>
      <w:r w:rsidR="00751F2B">
        <w:t xml:space="preserve">and load impact </w:t>
      </w:r>
      <w:r w:rsidR="00846952">
        <w:t>in the PY2017 study</w:t>
      </w:r>
      <w:r w:rsidR="00751F2B">
        <w:t xml:space="preserve"> is larger</w:t>
      </w:r>
      <w:r w:rsidR="00846952">
        <w:t xml:space="preserve">, even with </w:t>
      </w:r>
      <w:r w:rsidR="00751F2B">
        <w:t xml:space="preserve">cooler </w:t>
      </w:r>
      <w:r w:rsidR="00846952">
        <w:t>temperatures. The percentage load impact is slightly larger in the current study at 13.38 percent versus 12.61 percent in the PY2016 study.</w:t>
      </w:r>
    </w:p>
    <w:p w14:paraId="70E11365" w14:textId="5C97C0DB" w:rsidR="006E7BC9" w:rsidRDefault="006E7BC9" w:rsidP="006E7BC9">
      <w:pPr>
        <w:pStyle w:val="TableCaption"/>
        <w:keepNext/>
        <w:keepLines/>
      </w:pPr>
      <w:bookmarkStart w:id="115" w:name="_Toc509576801"/>
      <w:r>
        <w:lastRenderedPageBreak/>
        <w:t>Table 7.</w:t>
      </w:r>
      <w:r w:rsidR="00473271">
        <w:t>1</w:t>
      </w:r>
      <w:r>
        <w:t xml:space="preserve"> Comparison of PY2016 </w:t>
      </w:r>
      <w:r w:rsidRPr="002B3851">
        <w:rPr>
          <w:i/>
        </w:rPr>
        <w:t>Ex-</w:t>
      </w:r>
      <w:r>
        <w:rPr>
          <w:i/>
        </w:rPr>
        <w:t>P</w:t>
      </w:r>
      <w:r w:rsidRPr="002B3851">
        <w:rPr>
          <w:i/>
        </w:rPr>
        <w:t>ost</w:t>
      </w:r>
      <w:r>
        <w:t xml:space="preserve"> and Current </w:t>
      </w:r>
      <w:r w:rsidRPr="002B3851">
        <w:rPr>
          <w:i/>
        </w:rPr>
        <w:t>Ex-</w:t>
      </w:r>
      <w:r>
        <w:rPr>
          <w:i/>
        </w:rPr>
        <w:t>P</w:t>
      </w:r>
      <w:r w:rsidRPr="002B3851">
        <w:rPr>
          <w:i/>
        </w:rPr>
        <w:t>ost</w:t>
      </w:r>
      <w:r>
        <w:t xml:space="preserve"> Load Impacts, </w:t>
      </w:r>
      <w:r w:rsidRPr="00076AEA">
        <w:rPr>
          <w:i/>
        </w:rPr>
        <w:t>CPP Event</w:t>
      </w:r>
      <w:bookmarkEnd w:id="115"/>
      <w:r>
        <w:t xml:space="preserve"> </w:t>
      </w:r>
    </w:p>
    <w:tbl>
      <w:tblPr>
        <w:tblW w:w="6055" w:type="dxa"/>
        <w:jc w:val="center"/>
        <w:tblLook w:val="04A0" w:firstRow="1" w:lastRow="0" w:firstColumn="1" w:lastColumn="0" w:noHBand="0" w:noVBand="1"/>
      </w:tblPr>
      <w:tblGrid>
        <w:gridCol w:w="3180"/>
        <w:gridCol w:w="1440"/>
        <w:gridCol w:w="1435"/>
      </w:tblGrid>
      <w:tr w:rsidR="00473271" w:rsidRPr="00B408D4" w14:paraId="4997D461" w14:textId="77777777" w:rsidTr="00473271">
        <w:trPr>
          <w:trHeight w:val="244"/>
          <w:jc w:val="center"/>
        </w:trPr>
        <w:tc>
          <w:tcPr>
            <w:tcW w:w="3180" w:type="dxa"/>
            <w:vMerge w:val="restart"/>
            <w:tcBorders>
              <w:top w:val="single" w:sz="4" w:space="0" w:color="auto"/>
              <w:left w:val="single" w:sz="4" w:space="0" w:color="auto"/>
              <w:bottom w:val="single" w:sz="4" w:space="0" w:color="auto"/>
              <w:right w:val="nil"/>
            </w:tcBorders>
            <w:shd w:val="clear" w:color="000000" w:fill="132577"/>
            <w:noWrap/>
            <w:vAlign w:val="center"/>
            <w:hideMark/>
          </w:tcPr>
          <w:p w14:paraId="15F3D8D4" w14:textId="77777777" w:rsidR="00473271" w:rsidRPr="00B408D4" w:rsidRDefault="00473271" w:rsidP="00821801">
            <w:pPr>
              <w:keepNext/>
              <w:jc w:val="center"/>
              <w:rPr>
                <w:rFonts w:cs="Calibri"/>
                <w:b/>
                <w:bCs/>
                <w:color w:val="FFFFFF"/>
                <w:sz w:val="20"/>
                <w:szCs w:val="20"/>
              </w:rPr>
            </w:pPr>
            <w:r w:rsidRPr="00B408D4">
              <w:rPr>
                <w:rFonts w:cs="Calibri"/>
                <w:b/>
                <w:bCs/>
                <w:color w:val="FFFFFF"/>
                <w:sz w:val="20"/>
                <w:szCs w:val="20"/>
              </w:rPr>
              <w:t>Result</w:t>
            </w:r>
          </w:p>
        </w:tc>
        <w:tc>
          <w:tcPr>
            <w:tcW w:w="1440" w:type="dxa"/>
            <w:vMerge w:val="restart"/>
            <w:tcBorders>
              <w:top w:val="single" w:sz="4" w:space="0" w:color="auto"/>
              <w:left w:val="single" w:sz="4" w:space="0" w:color="FFFFFF"/>
              <w:bottom w:val="single" w:sz="4" w:space="0" w:color="auto"/>
              <w:right w:val="single" w:sz="4" w:space="0" w:color="FFFFFF"/>
            </w:tcBorders>
            <w:shd w:val="clear" w:color="000000" w:fill="132577"/>
            <w:vAlign w:val="center"/>
            <w:hideMark/>
          </w:tcPr>
          <w:p w14:paraId="46D1E7E0" w14:textId="50D14564" w:rsidR="00473271" w:rsidRPr="00B408D4" w:rsidRDefault="00473271" w:rsidP="00821801">
            <w:pPr>
              <w:keepNext/>
              <w:jc w:val="center"/>
              <w:rPr>
                <w:rFonts w:cs="Calibri"/>
                <w:b/>
                <w:bCs/>
                <w:i/>
                <w:iCs/>
                <w:color w:val="FFFFFF"/>
                <w:sz w:val="20"/>
                <w:szCs w:val="20"/>
              </w:rPr>
            </w:pPr>
            <w:r w:rsidRPr="00B408D4">
              <w:rPr>
                <w:rFonts w:cs="Calibri"/>
                <w:b/>
                <w:bCs/>
                <w:i/>
                <w:iCs/>
                <w:color w:val="FFFFFF"/>
                <w:sz w:val="20"/>
                <w:szCs w:val="20"/>
              </w:rPr>
              <w:t xml:space="preserve">Ex-post for </w:t>
            </w:r>
            <w:r>
              <w:rPr>
                <w:rFonts w:cs="Calibri"/>
                <w:b/>
                <w:bCs/>
                <w:i/>
                <w:iCs/>
                <w:color w:val="FFFFFF"/>
                <w:sz w:val="20"/>
                <w:szCs w:val="20"/>
              </w:rPr>
              <w:t>2016</w:t>
            </w:r>
            <w:r w:rsidRPr="00B408D4">
              <w:rPr>
                <w:rFonts w:cs="Calibri"/>
                <w:b/>
                <w:bCs/>
                <w:i/>
                <w:iCs/>
                <w:color w:val="FFFFFF"/>
                <w:sz w:val="20"/>
                <w:szCs w:val="20"/>
              </w:rPr>
              <w:t xml:space="preserve"> </w:t>
            </w:r>
            <w:r w:rsidR="0050472E">
              <w:rPr>
                <w:rFonts w:cs="Calibri"/>
                <w:b/>
                <w:bCs/>
                <w:i/>
                <w:iCs/>
                <w:color w:val="FFFFFF"/>
                <w:sz w:val="20"/>
                <w:szCs w:val="20"/>
              </w:rPr>
              <w:t xml:space="preserve">Weekday </w:t>
            </w:r>
            <w:r>
              <w:rPr>
                <w:rFonts w:cs="Calibri"/>
                <w:b/>
                <w:bCs/>
                <w:i/>
                <w:iCs/>
                <w:color w:val="FFFFFF"/>
                <w:sz w:val="20"/>
                <w:szCs w:val="20"/>
              </w:rPr>
              <w:t>Event</w:t>
            </w:r>
            <w:r w:rsidRPr="00B408D4">
              <w:rPr>
                <w:rFonts w:cs="Calibri"/>
                <w:b/>
                <w:bCs/>
                <w:i/>
                <w:iCs/>
                <w:color w:val="FFFFFF"/>
                <w:sz w:val="20"/>
                <w:szCs w:val="20"/>
              </w:rPr>
              <w:t xml:space="preserve"> from PY2016 Study</w:t>
            </w:r>
          </w:p>
        </w:tc>
        <w:tc>
          <w:tcPr>
            <w:tcW w:w="1435" w:type="dxa"/>
            <w:vMerge w:val="restart"/>
            <w:tcBorders>
              <w:top w:val="single" w:sz="4" w:space="0" w:color="auto"/>
              <w:left w:val="single" w:sz="4" w:space="0" w:color="FFFFFF"/>
              <w:bottom w:val="single" w:sz="4" w:space="0" w:color="auto"/>
              <w:right w:val="single" w:sz="4" w:space="0" w:color="auto"/>
            </w:tcBorders>
            <w:shd w:val="clear" w:color="000000" w:fill="132577"/>
            <w:vAlign w:val="center"/>
            <w:hideMark/>
          </w:tcPr>
          <w:p w14:paraId="7DB95250" w14:textId="0C644ED1" w:rsidR="00473271" w:rsidRPr="00B408D4" w:rsidRDefault="00473271" w:rsidP="00821801">
            <w:pPr>
              <w:keepNext/>
              <w:jc w:val="center"/>
              <w:rPr>
                <w:rFonts w:cs="Calibri"/>
                <w:b/>
                <w:bCs/>
                <w:i/>
                <w:iCs/>
                <w:color w:val="FFFFFF"/>
                <w:sz w:val="20"/>
                <w:szCs w:val="20"/>
              </w:rPr>
            </w:pPr>
            <w:r w:rsidRPr="00B408D4">
              <w:rPr>
                <w:rFonts w:cs="Calibri"/>
                <w:b/>
                <w:bCs/>
                <w:i/>
                <w:iCs/>
                <w:color w:val="FFFFFF"/>
                <w:sz w:val="20"/>
                <w:szCs w:val="20"/>
              </w:rPr>
              <w:t>Ex-post for 2017</w:t>
            </w:r>
            <w:r w:rsidR="0050472E">
              <w:rPr>
                <w:rFonts w:cs="Calibri"/>
                <w:b/>
                <w:bCs/>
                <w:i/>
                <w:iCs/>
                <w:color w:val="FFFFFF"/>
                <w:sz w:val="20"/>
                <w:szCs w:val="20"/>
              </w:rPr>
              <w:t xml:space="preserve"> Weekday</w:t>
            </w:r>
            <w:r w:rsidRPr="00B408D4">
              <w:rPr>
                <w:rFonts w:cs="Calibri"/>
                <w:b/>
                <w:bCs/>
                <w:i/>
                <w:iCs/>
                <w:color w:val="FFFFFF"/>
                <w:sz w:val="20"/>
                <w:szCs w:val="20"/>
              </w:rPr>
              <w:t xml:space="preserve"> Event from PY2017 Study</w:t>
            </w:r>
          </w:p>
        </w:tc>
      </w:tr>
      <w:tr w:rsidR="00473271" w:rsidRPr="00B408D4" w14:paraId="3496CA53" w14:textId="77777777" w:rsidTr="00473271">
        <w:trPr>
          <w:trHeight w:val="293"/>
          <w:jc w:val="center"/>
        </w:trPr>
        <w:tc>
          <w:tcPr>
            <w:tcW w:w="3180" w:type="dxa"/>
            <w:vMerge/>
            <w:tcBorders>
              <w:top w:val="single" w:sz="4" w:space="0" w:color="auto"/>
              <w:left w:val="single" w:sz="4" w:space="0" w:color="auto"/>
              <w:bottom w:val="single" w:sz="4" w:space="0" w:color="auto"/>
              <w:right w:val="nil"/>
            </w:tcBorders>
            <w:vAlign w:val="center"/>
            <w:hideMark/>
          </w:tcPr>
          <w:p w14:paraId="0E0157E0" w14:textId="77777777" w:rsidR="00473271" w:rsidRPr="00B408D4" w:rsidRDefault="00473271" w:rsidP="00821801">
            <w:pPr>
              <w:keepNext/>
              <w:rPr>
                <w:rFonts w:cs="Calibri"/>
                <w:b/>
                <w:bCs/>
                <w:color w:val="FFFFFF"/>
                <w:sz w:val="20"/>
                <w:szCs w:val="20"/>
              </w:rPr>
            </w:pPr>
          </w:p>
        </w:tc>
        <w:tc>
          <w:tcPr>
            <w:tcW w:w="1440" w:type="dxa"/>
            <w:vMerge/>
            <w:tcBorders>
              <w:top w:val="single" w:sz="4" w:space="0" w:color="auto"/>
              <w:left w:val="single" w:sz="4" w:space="0" w:color="FFFFFF"/>
              <w:bottom w:val="single" w:sz="4" w:space="0" w:color="auto"/>
              <w:right w:val="single" w:sz="4" w:space="0" w:color="FFFFFF"/>
            </w:tcBorders>
            <w:vAlign w:val="center"/>
            <w:hideMark/>
          </w:tcPr>
          <w:p w14:paraId="6494E731" w14:textId="77777777" w:rsidR="00473271" w:rsidRPr="00B408D4" w:rsidRDefault="00473271" w:rsidP="00821801">
            <w:pPr>
              <w:keepNext/>
              <w:rPr>
                <w:rFonts w:cs="Calibri"/>
                <w:b/>
                <w:bCs/>
                <w:i/>
                <w:iCs/>
                <w:color w:val="FFFFFF"/>
                <w:sz w:val="20"/>
                <w:szCs w:val="20"/>
              </w:rPr>
            </w:pPr>
          </w:p>
        </w:tc>
        <w:tc>
          <w:tcPr>
            <w:tcW w:w="1435" w:type="dxa"/>
            <w:vMerge/>
            <w:tcBorders>
              <w:top w:val="single" w:sz="4" w:space="0" w:color="auto"/>
              <w:left w:val="single" w:sz="4" w:space="0" w:color="FFFFFF"/>
              <w:bottom w:val="single" w:sz="4" w:space="0" w:color="auto"/>
              <w:right w:val="single" w:sz="4" w:space="0" w:color="auto"/>
            </w:tcBorders>
            <w:vAlign w:val="center"/>
            <w:hideMark/>
          </w:tcPr>
          <w:p w14:paraId="3F763332" w14:textId="77777777" w:rsidR="00473271" w:rsidRPr="00B408D4" w:rsidRDefault="00473271" w:rsidP="00821801">
            <w:pPr>
              <w:keepNext/>
              <w:rPr>
                <w:rFonts w:cs="Calibri"/>
                <w:b/>
                <w:bCs/>
                <w:i/>
                <w:iCs/>
                <w:color w:val="FFFFFF"/>
                <w:sz w:val="20"/>
                <w:szCs w:val="20"/>
              </w:rPr>
            </w:pPr>
          </w:p>
        </w:tc>
      </w:tr>
      <w:tr w:rsidR="006A24EC" w:rsidRPr="00B408D4" w14:paraId="1E3B02C1" w14:textId="77777777" w:rsidTr="00473271">
        <w:trPr>
          <w:trHeight w:val="20"/>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05C237D7" w14:textId="77777777" w:rsidR="006A24EC" w:rsidRPr="00B408D4" w:rsidRDefault="006A24EC" w:rsidP="006A24EC">
            <w:pPr>
              <w:keepNext/>
              <w:rPr>
                <w:rFonts w:cs="Calibri"/>
                <w:color w:val="000000"/>
                <w:sz w:val="20"/>
                <w:szCs w:val="20"/>
              </w:rPr>
            </w:pPr>
            <w:r w:rsidRPr="00B408D4">
              <w:rPr>
                <w:rFonts w:cs="Calibri"/>
                <w:color w:val="000000"/>
                <w:sz w:val="20"/>
                <w:szCs w:val="20"/>
              </w:rPr>
              <w:t># Enrolled</w:t>
            </w:r>
          </w:p>
        </w:tc>
        <w:tc>
          <w:tcPr>
            <w:tcW w:w="1440" w:type="dxa"/>
            <w:tcBorders>
              <w:top w:val="nil"/>
              <w:left w:val="nil"/>
              <w:bottom w:val="single" w:sz="4" w:space="0" w:color="auto"/>
              <w:right w:val="single" w:sz="4" w:space="0" w:color="auto"/>
            </w:tcBorders>
            <w:shd w:val="clear" w:color="auto" w:fill="auto"/>
            <w:noWrap/>
            <w:vAlign w:val="center"/>
            <w:hideMark/>
          </w:tcPr>
          <w:p w14:paraId="06E4E6A9" w14:textId="5FE9C2A7" w:rsidR="006A24EC" w:rsidRPr="00B408D4" w:rsidRDefault="006A24EC" w:rsidP="006A24EC">
            <w:pPr>
              <w:keepNext/>
              <w:jc w:val="center"/>
              <w:rPr>
                <w:rFonts w:cs="Calibri"/>
                <w:color w:val="000000"/>
                <w:sz w:val="20"/>
                <w:szCs w:val="20"/>
              </w:rPr>
            </w:pPr>
            <w:r>
              <w:rPr>
                <w:rFonts w:cs="Calibri"/>
                <w:color w:val="000000"/>
                <w:sz w:val="20"/>
                <w:szCs w:val="20"/>
              </w:rPr>
              <w:t>3,063</w:t>
            </w:r>
          </w:p>
        </w:tc>
        <w:tc>
          <w:tcPr>
            <w:tcW w:w="1435" w:type="dxa"/>
            <w:tcBorders>
              <w:top w:val="nil"/>
              <w:left w:val="nil"/>
              <w:bottom w:val="single" w:sz="4" w:space="0" w:color="auto"/>
              <w:right w:val="single" w:sz="4" w:space="0" w:color="auto"/>
            </w:tcBorders>
            <w:shd w:val="clear" w:color="auto" w:fill="auto"/>
            <w:noWrap/>
            <w:vAlign w:val="center"/>
            <w:hideMark/>
          </w:tcPr>
          <w:p w14:paraId="167193AD" w14:textId="39364FC5" w:rsidR="006A24EC" w:rsidRPr="00B408D4" w:rsidRDefault="006A24EC" w:rsidP="006A24EC">
            <w:pPr>
              <w:keepNext/>
              <w:jc w:val="center"/>
              <w:rPr>
                <w:rFonts w:cs="Calibri"/>
                <w:color w:val="000000"/>
                <w:sz w:val="20"/>
                <w:szCs w:val="20"/>
              </w:rPr>
            </w:pPr>
            <w:r>
              <w:rPr>
                <w:rFonts w:cs="Calibri"/>
                <w:color w:val="000000"/>
                <w:sz w:val="20"/>
                <w:szCs w:val="20"/>
              </w:rPr>
              <w:t>4,935</w:t>
            </w:r>
          </w:p>
        </w:tc>
      </w:tr>
      <w:tr w:rsidR="006A24EC" w:rsidRPr="00B408D4" w14:paraId="00719F6D" w14:textId="77777777" w:rsidTr="00473271">
        <w:trPr>
          <w:trHeight w:val="20"/>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75BB58B5" w14:textId="77777777" w:rsidR="006A24EC" w:rsidRPr="00B408D4" w:rsidRDefault="006A24EC" w:rsidP="006A24EC">
            <w:pPr>
              <w:keepNext/>
              <w:rPr>
                <w:rFonts w:cs="Calibri"/>
                <w:color w:val="000000"/>
                <w:sz w:val="20"/>
                <w:szCs w:val="20"/>
              </w:rPr>
            </w:pPr>
            <w:r w:rsidRPr="00B408D4">
              <w:rPr>
                <w:rFonts w:cs="Calibri"/>
                <w:color w:val="000000"/>
                <w:sz w:val="20"/>
                <w:szCs w:val="20"/>
              </w:rPr>
              <w:t>Reference (MWh/h)</w:t>
            </w:r>
          </w:p>
        </w:tc>
        <w:tc>
          <w:tcPr>
            <w:tcW w:w="1440" w:type="dxa"/>
            <w:tcBorders>
              <w:top w:val="nil"/>
              <w:left w:val="nil"/>
              <w:bottom w:val="single" w:sz="4" w:space="0" w:color="auto"/>
              <w:right w:val="single" w:sz="4" w:space="0" w:color="auto"/>
            </w:tcBorders>
            <w:shd w:val="clear" w:color="auto" w:fill="auto"/>
            <w:noWrap/>
            <w:vAlign w:val="center"/>
            <w:hideMark/>
          </w:tcPr>
          <w:p w14:paraId="2F471BDB" w14:textId="353C37DD" w:rsidR="006A24EC" w:rsidRPr="00B408D4" w:rsidRDefault="006A24EC" w:rsidP="006A24EC">
            <w:pPr>
              <w:keepNext/>
              <w:jc w:val="center"/>
              <w:rPr>
                <w:rFonts w:cs="Calibri"/>
                <w:color w:val="000000"/>
                <w:sz w:val="20"/>
                <w:szCs w:val="20"/>
              </w:rPr>
            </w:pPr>
            <w:r>
              <w:rPr>
                <w:rFonts w:cs="Calibri"/>
                <w:color w:val="000000"/>
                <w:sz w:val="20"/>
                <w:szCs w:val="20"/>
              </w:rPr>
              <w:t>3.51</w:t>
            </w:r>
          </w:p>
        </w:tc>
        <w:tc>
          <w:tcPr>
            <w:tcW w:w="1435" w:type="dxa"/>
            <w:tcBorders>
              <w:top w:val="nil"/>
              <w:left w:val="nil"/>
              <w:bottom w:val="single" w:sz="4" w:space="0" w:color="auto"/>
              <w:right w:val="single" w:sz="4" w:space="0" w:color="auto"/>
            </w:tcBorders>
            <w:shd w:val="clear" w:color="auto" w:fill="auto"/>
            <w:noWrap/>
            <w:vAlign w:val="center"/>
            <w:hideMark/>
          </w:tcPr>
          <w:p w14:paraId="56045D06" w14:textId="16DBAB49" w:rsidR="006A24EC" w:rsidRPr="00B408D4" w:rsidRDefault="006A24EC" w:rsidP="006A24EC">
            <w:pPr>
              <w:keepNext/>
              <w:jc w:val="center"/>
              <w:rPr>
                <w:rFonts w:cs="Calibri"/>
                <w:color w:val="000000"/>
                <w:sz w:val="20"/>
                <w:szCs w:val="20"/>
              </w:rPr>
            </w:pPr>
            <w:r>
              <w:rPr>
                <w:rFonts w:cs="Calibri"/>
                <w:color w:val="000000"/>
                <w:sz w:val="20"/>
                <w:szCs w:val="20"/>
              </w:rPr>
              <w:t>6.76</w:t>
            </w:r>
          </w:p>
        </w:tc>
      </w:tr>
      <w:tr w:rsidR="006A24EC" w:rsidRPr="00B408D4" w14:paraId="3C261DE0" w14:textId="77777777" w:rsidTr="00473271">
        <w:trPr>
          <w:trHeight w:val="20"/>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211A801C" w14:textId="77777777" w:rsidR="006A24EC" w:rsidRPr="00B408D4" w:rsidRDefault="006A24EC" w:rsidP="006A24EC">
            <w:pPr>
              <w:keepNext/>
              <w:rPr>
                <w:rFonts w:cs="Calibri"/>
                <w:color w:val="000000"/>
                <w:sz w:val="20"/>
                <w:szCs w:val="20"/>
              </w:rPr>
            </w:pPr>
            <w:r w:rsidRPr="00B408D4">
              <w:rPr>
                <w:rFonts w:cs="Calibri"/>
                <w:color w:val="000000"/>
                <w:sz w:val="20"/>
                <w:szCs w:val="20"/>
              </w:rPr>
              <w:t>Load Impact (MWh/h)</w:t>
            </w:r>
          </w:p>
        </w:tc>
        <w:tc>
          <w:tcPr>
            <w:tcW w:w="1440" w:type="dxa"/>
            <w:tcBorders>
              <w:top w:val="nil"/>
              <w:left w:val="nil"/>
              <w:bottom w:val="single" w:sz="4" w:space="0" w:color="auto"/>
              <w:right w:val="single" w:sz="4" w:space="0" w:color="auto"/>
            </w:tcBorders>
            <w:shd w:val="clear" w:color="auto" w:fill="auto"/>
            <w:noWrap/>
            <w:vAlign w:val="center"/>
            <w:hideMark/>
          </w:tcPr>
          <w:p w14:paraId="10B188D4" w14:textId="287D1047" w:rsidR="006A24EC" w:rsidRPr="00B408D4" w:rsidRDefault="006A24EC" w:rsidP="006A24EC">
            <w:pPr>
              <w:keepNext/>
              <w:jc w:val="center"/>
              <w:rPr>
                <w:rFonts w:cs="Calibri"/>
                <w:color w:val="000000"/>
                <w:sz w:val="20"/>
                <w:szCs w:val="20"/>
              </w:rPr>
            </w:pPr>
            <w:r>
              <w:rPr>
                <w:rFonts w:cs="Calibri"/>
                <w:color w:val="000000"/>
                <w:sz w:val="20"/>
                <w:szCs w:val="20"/>
              </w:rPr>
              <w:t>0.44</w:t>
            </w:r>
          </w:p>
        </w:tc>
        <w:tc>
          <w:tcPr>
            <w:tcW w:w="1435" w:type="dxa"/>
            <w:tcBorders>
              <w:top w:val="nil"/>
              <w:left w:val="nil"/>
              <w:bottom w:val="single" w:sz="4" w:space="0" w:color="auto"/>
              <w:right w:val="single" w:sz="4" w:space="0" w:color="auto"/>
            </w:tcBorders>
            <w:shd w:val="clear" w:color="auto" w:fill="auto"/>
            <w:noWrap/>
            <w:vAlign w:val="center"/>
            <w:hideMark/>
          </w:tcPr>
          <w:p w14:paraId="05DAF643" w14:textId="7BE16CAE" w:rsidR="006A24EC" w:rsidRPr="00B408D4" w:rsidRDefault="006A24EC" w:rsidP="006A24EC">
            <w:pPr>
              <w:keepNext/>
              <w:jc w:val="center"/>
              <w:rPr>
                <w:rFonts w:cs="Calibri"/>
                <w:color w:val="000000"/>
                <w:sz w:val="20"/>
                <w:szCs w:val="20"/>
              </w:rPr>
            </w:pPr>
            <w:r>
              <w:rPr>
                <w:rFonts w:cs="Calibri"/>
                <w:color w:val="000000"/>
                <w:sz w:val="20"/>
                <w:szCs w:val="20"/>
              </w:rPr>
              <w:t>0.90</w:t>
            </w:r>
          </w:p>
        </w:tc>
      </w:tr>
      <w:tr w:rsidR="006A24EC" w:rsidRPr="00B408D4" w14:paraId="07753953" w14:textId="77777777" w:rsidTr="00473271">
        <w:trPr>
          <w:trHeight w:val="20"/>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60C910ED" w14:textId="77777777" w:rsidR="006A24EC" w:rsidRPr="00B408D4" w:rsidRDefault="006A24EC" w:rsidP="006A24EC">
            <w:pPr>
              <w:keepNext/>
              <w:rPr>
                <w:rFonts w:cs="Calibri"/>
                <w:color w:val="000000"/>
                <w:sz w:val="20"/>
                <w:szCs w:val="20"/>
              </w:rPr>
            </w:pPr>
            <w:r w:rsidRPr="00B408D4">
              <w:rPr>
                <w:rFonts w:cs="Calibri"/>
                <w:color w:val="000000"/>
                <w:sz w:val="20"/>
                <w:szCs w:val="20"/>
              </w:rPr>
              <w:t>Per-customer reference (kWh/h)</w:t>
            </w:r>
          </w:p>
        </w:tc>
        <w:tc>
          <w:tcPr>
            <w:tcW w:w="1440" w:type="dxa"/>
            <w:tcBorders>
              <w:top w:val="nil"/>
              <w:left w:val="nil"/>
              <w:bottom w:val="single" w:sz="4" w:space="0" w:color="auto"/>
              <w:right w:val="single" w:sz="4" w:space="0" w:color="auto"/>
            </w:tcBorders>
            <w:shd w:val="clear" w:color="auto" w:fill="auto"/>
            <w:noWrap/>
            <w:vAlign w:val="center"/>
            <w:hideMark/>
          </w:tcPr>
          <w:p w14:paraId="1C9B3C53" w14:textId="073F8543" w:rsidR="006A24EC" w:rsidRPr="00B408D4" w:rsidRDefault="006A24EC" w:rsidP="006A24EC">
            <w:pPr>
              <w:keepNext/>
              <w:jc w:val="center"/>
              <w:rPr>
                <w:rFonts w:cs="Calibri"/>
                <w:color w:val="000000"/>
                <w:sz w:val="20"/>
                <w:szCs w:val="20"/>
              </w:rPr>
            </w:pPr>
            <w:r>
              <w:rPr>
                <w:rFonts w:cs="Calibri"/>
                <w:color w:val="000000"/>
                <w:sz w:val="20"/>
                <w:szCs w:val="20"/>
              </w:rPr>
              <w:t>1.15</w:t>
            </w:r>
          </w:p>
        </w:tc>
        <w:tc>
          <w:tcPr>
            <w:tcW w:w="1435" w:type="dxa"/>
            <w:tcBorders>
              <w:top w:val="nil"/>
              <w:left w:val="nil"/>
              <w:bottom w:val="single" w:sz="4" w:space="0" w:color="auto"/>
              <w:right w:val="single" w:sz="4" w:space="0" w:color="auto"/>
            </w:tcBorders>
            <w:shd w:val="clear" w:color="auto" w:fill="auto"/>
            <w:noWrap/>
            <w:vAlign w:val="center"/>
            <w:hideMark/>
          </w:tcPr>
          <w:p w14:paraId="0A660908" w14:textId="24145385" w:rsidR="006A24EC" w:rsidRPr="00B408D4" w:rsidRDefault="006A24EC" w:rsidP="006A24EC">
            <w:pPr>
              <w:keepNext/>
              <w:jc w:val="center"/>
              <w:rPr>
                <w:rFonts w:cs="Calibri"/>
                <w:color w:val="000000"/>
                <w:sz w:val="20"/>
                <w:szCs w:val="20"/>
              </w:rPr>
            </w:pPr>
            <w:r>
              <w:rPr>
                <w:rFonts w:cs="Calibri"/>
                <w:color w:val="000000"/>
                <w:sz w:val="20"/>
                <w:szCs w:val="20"/>
              </w:rPr>
              <w:t>1.37</w:t>
            </w:r>
          </w:p>
        </w:tc>
      </w:tr>
      <w:tr w:rsidR="006A24EC" w:rsidRPr="00B408D4" w14:paraId="4999B354" w14:textId="77777777" w:rsidTr="00473271">
        <w:trPr>
          <w:trHeight w:val="20"/>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1921E67C" w14:textId="77777777" w:rsidR="006A24EC" w:rsidRPr="00B408D4" w:rsidRDefault="006A24EC" w:rsidP="006A24EC">
            <w:pPr>
              <w:keepNext/>
              <w:rPr>
                <w:rFonts w:cs="Calibri"/>
                <w:color w:val="000000"/>
                <w:sz w:val="20"/>
                <w:szCs w:val="20"/>
              </w:rPr>
            </w:pPr>
            <w:r w:rsidRPr="00B408D4">
              <w:rPr>
                <w:rFonts w:cs="Calibri"/>
                <w:color w:val="000000"/>
                <w:sz w:val="20"/>
                <w:szCs w:val="20"/>
              </w:rPr>
              <w:t>Per-customer load impact (kWh/h)</w:t>
            </w:r>
          </w:p>
        </w:tc>
        <w:tc>
          <w:tcPr>
            <w:tcW w:w="1440" w:type="dxa"/>
            <w:tcBorders>
              <w:top w:val="nil"/>
              <w:left w:val="nil"/>
              <w:bottom w:val="single" w:sz="4" w:space="0" w:color="auto"/>
              <w:right w:val="single" w:sz="4" w:space="0" w:color="auto"/>
            </w:tcBorders>
            <w:shd w:val="clear" w:color="auto" w:fill="auto"/>
            <w:noWrap/>
            <w:vAlign w:val="center"/>
            <w:hideMark/>
          </w:tcPr>
          <w:p w14:paraId="4493EA3B" w14:textId="158E8737" w:rsidR="006A24EC" w:rsidRPr="00B408D4" w:rsidRDefault="006A24EC" w:rsidP="006A24EC">
            <w:pPr>
              <w:keepNext/>
              <w:jc w:val="center"/>
              <w:rPr>
                <w:rFonts w:cs="Calibri"/>
                <w:color w:val="000000"/>
                <w:sz w:val="20"/>
                <w:szCs w:val="20"/>
              </w:rPr>
            </w:pPr>
            <w:r>
              <w:rPr>
                <w:rFonts w:cs="Calibri"/>
                <w:color w:val="000000"/>
                <w:sz w:val="20"/>
                <w:szCs w:val="20"/>
              </w:rPr>
              <w:t>0.14</w:t>
            </w:r>
          </w:p>
        </w:tc>
        <w:tc>
          <w:tcPr>
            <w:tcW w:w="1435" w:type="dxa"/>
            <w:tcBorders>
              <w:top w:val="nil"/>
              <w:left w:val="nil"/>
              <w:bottom w:val="single" w:sz="4" w:space="0" w:color="auto"/>
              <w:right w:val="single" w:sz="4" w:space="0" w:color="auto"/>
            </w:tcBorders>
            <w:shd w:val="clear" w:color="auto" w:fill="auto"/>
            <w:noWrap/>
            <w:vAlign w:val="center"/>
            <w:hideMark/>
          </w:tcPr>
          <w:p w14:paraId="798DA256" w14:textId="6EE77118" w:rsidR="006A24EC" w:rsidRPr="00B408D4" w:rsidRDefault="006A24EC" w:rsidP="006A24EC">
            <w:pPr>
              <w:keepNext/>
              <w:jc w:val="center"/>
              <w:rPr>
                <w:rFonts w:cs="Calibri"/>
                <w:color w:val="000000"/>
                <w:sz w:val="20"/>
                <w:szCs w:val="20"/>
              </w:rPr>
            </w:pPr>
            <w:r>
              <w:rPr>
                <w:rFonts w:cs="Calibri"/>
                <w:color w:val="000000"/>
                <w:sz w:val="20"/>
                <w:szCs w:val="20"/>
              </w:rPr>
              <w:t>0.18</w:t>
            </w:r>
          </w:p>
        </w:tc>
      </w:tr>
      <w:tr w:rsidR="006A24EC" w:rsidRPr="00B408D4" w14:paraId="6F5EC72C" w14:textId="77777777" w:rsidTr="00473271">
        <w:trPr>
          <w:trHeight w:val="20"/>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0B539E25" w14:textId="77777777" w:rsidR="006A24EC" w:rsidRPr="00B408D4" w:rsidRDefault="006A24EC" w:rsidP="006A24EC">
            <w:pPr>
              <w:keepNext/>
              <w:rPr>
                <w:rFonts w:cs="Calibri"/>
                <w:color w:val="000000"/>
                <w:sz w:val="20"/>
                <w:szCs w:val="20"/>
              </w:rPr>
            </w:pPr>
            <w:r w:rsidRPr="00B408D4">
              <w:rPr>
                <w:rFonts w:cs="Calibri"/>
                <w:color w:val="000000"/>
                <w:sz w:val="20"/>
                <w:szCs w:val="20"/>
              </w:rPr>
              <w:t>% Load Impact</w:t>
            </w:r>
          </w:p>
        </w:tc>
        <w:tc>
          <w:tcPr>
            <w:tcW w:w="1440" w:type="dxa"/>
            <w:tcBorders>
              <w:top w:val="nil"/>
              <w:left w:val="nil"/>
              <w:bottom w:val="single" w:sz="4" w:space="0" w:color="auto"/>
              <w:right w:val="single" w:sz="4" w:space="0" w:color="auto"/>
            </w:tcBorders>
            <w:shd w:val="clear" w:color="auto" w:fill="auto"/>
            <w:noWrap/>
            <w:vAlign w:val="center"/>
            <w:hideMark/>
          </w:tcPr>
          <w:p w14:paraId="21E6B375" w14:textId="24ECA2F0" w:rsidR="006A24EC" w:rsidRPr="00B408D4" w:rsidRDefault="006A24EC" w:rsidP="006A24EC">
            <w:pPr>
              <w:keepNext/>
              <w:jc w:val="center"/>
              <w:rPr>
                <w:rFonts w:cs="Calibri"/>
                <w:color w:val="000000"/>
                <w:sz w:val="20"/>
                <w:szCs w:val="20"/>
              </w:rPr>
            </w:pPr>
            <w:r>
              <w:rPr>
                <w:rFonts w:cs="Calibri"/>
                <w:color w:val="000000"/>
                <w:sz w:val="20"/>
                <w:szCs w:val="20"/>
              </w:rPr>
              <w:t>12.61%</w:t>
            </w:r>
          </w:p>
        </w:tc>
        <w:tc>
          <w:tcPr>
            <w:tcW w:w="1435" w:type="dxa"/>
            <w:tcBorders>
              <w:top w:val="nil"/>
              <w:left w:val="nil"/>
              <w:bottom w:val="single" w:sz="4" w:space="0" w:color="auto"/>
              <w:right w:val="single" w:sz="4" w:space="0" w:color="auto"/>
            </w:tcBorders>
            <w:shd w:val="clear" w:color="auto" w:fill="auto"/>
            <w:noWrap/>
            <w:vAlign w:val="center"/>
            <w:hideMark/>
          </w:tcPr>
          <w:p w14:paraId="2A7F43F5" w14:textId="484F3312" w:rsidR="006A24EC" w:rsidRPr="00B408D4" w:rsidRDefault="006A24EC" w:rsidP="006A24EC">
            <w:pPr>
              <w:keepNext/>
              <w:jc w:val="center"/>
              <w:rPr>
                <w:rFonts w:cs="Calibri"/>
                <w:color w:val="000000"/>
                <w:sz w:val="20"/>
                <w:szCs w:val="20"/>
              </w:rPr>
            </w:pPr>
            <w:r>
              <w:rPr>
                <w:rFonts w:cs="Calibri"/>
                <w:color w:val="000000"/>
                <w:sz w:val="20"/>
                <w:szCs w:val="20"/>
              </w:rPr>
              <w:t>13.38%</w:t>
            </w:r>
          </w:p>
        </w:tc>
      </w:tr>
      <w:tr w:rsidR="006A24EC" w:rsidRPr="00B408D4" w14:paraId="4FB9E52C" w14:textId="77777777" w:rsidTr="00473271">
        <w:trPr>
          <w:trHeight w:val="20"/>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3ABEB54A" w14:textId="77777777" w:rsidR="006A24EC" w:rsidRPr="00B408D4" w:rsidRDefault="006A24EC" w:rsidP="006A24EC">
            <w:pPr>
              <w:keepNext/>
              <w:rPr>
                <w:rFonts w:cs="Calibri"/>
                <w:color w:val="000000"/>
                <w:sz w:val="20"/>
                <w:szCs w:val="20"/>
              </w:rPr>
            </w:pPr>
            <w:r w:rsidRPr="00B408D4">
              <w:rPr>
                <w:rFonts w:cs="Calibri"/>
                <w:color w:val="000000"/>
                <w:sz w:val="20"/>
                <w:szCs w:val="20"/>
              </w:rPr>
              <w:t>Temperature</w:t>
            </w:r>
          </w:p>
        </w:tc>
        <w:tc>
          <w:tcPr>
            <w:tcW w:w="1440" w:type="dxa"/>
            <w:tcBorders>
              <w:top w:val="nil"/>
              <w:left w:val="nil"/>
              <w:bottom w:val="single" w:sz="4" w:space="0" w:color="auto"/>
              <w:right w:val="single" w:sz="4" w:space="0" w:color="auto"/>
            </w:tcBorders>
            <w:shd w:val="clear" w:color="auto" w:fill="auto"/>
            <w:noWrap/>
            <w:vAlign w:val="center"/>
            <w:hideMark/>
          </w:tcPr>
          <w:p w14:paraId="413DAA28" w14:textId="0B311879" w:rsidR="006A24EC" w:rsidRPr="00B408D4" w:rsidRDefault="006A24EC" w:rsidP="006A24EC">
            <w:pPr>
              <w:keepNext/>
              <w:jc w:val="center"/>
              <w:rPr>
                <w:rFonts w:cs="Calibri"/>
                <w:color w:val="000000"/>
                <w:sz w:val="20"/>
                <w:szCs w:val="20"/>
              </w:rPr>
            </w:pPr>
            <w:r>
              <w:rPr>
                <w:rFonts w:cs="Calibri"/>
                <w:color w:val="000000"/>
                <w:sz w:val="20"/>
                <w:szCs w:val="20"/>
              </w:rPr>
              <w:t>99.9</w:t>
            </w:r>
          </w:p>
        </w:tc>
        <w:tc>
          <w:tcPr>
            <w:tcW w:w="1435" w:type="dxa"/>
            <w:tcBorders>
              <w:top w:val="nil"/>
              <w:left w:val="nil"/>
              <w:bottom w:val="single" w:sz="4" w:space="0" w:color="auto"/>
              <w:right w:val="single" w:sz="4" w:space="0" w:color="auto"/>
            </w:tcBorders>
            <w:shd w:val="clear" w:color="auto" w:fill="auto"/>
            <w:noWrap/>
            <w:vAlign w:val="center"/>
            <w:hideMark/>
          </w:tcPr>
          <w:p w14:paraId="75B584F0" w14:textId="7A0A434B" w:rsidR="006A24EC" w:rsidRPr="00B408D4" w:rsidRDefault="006A24EC" w:rsidP="006A24EC">
            <w:pPr>
              <w:keepNext/>
              <w:jc w:val="center"/>
              <w:rPr>
                <w:rFonts w:cs="Calibri"/>
                <w:color w:val="000000"/>
                <w:sz w:val="20"/>
                <w:szCs w:val="20"/>
              </w:rPr>
            </w:pPr>
            <w:r>
              <w:rPr>
                <w:rFonts w:cs="Calibri"/>
                <w:color w:val="000000"/>
                <w:sz w:val="20"/>
                <w:szCs w:val="20"/>
              </w:rPr>
              <w:t>91.6</w:t>
            </w:r>
          </w:p>
        </w:tc>
      </w:tr>
    </w:tbl>
    <w:p w14:paraId="669BC444" w14:textId="77777777" w:rsidR="006E7BC9" w:rsidRPr="006E7BC9" w:rsidRDefault="006E7BC9" w:rsidP="006E7BC9"/>
    <w:p w14:paraId="4270D086" w14:textId="5B425212" w:rsidR="00E658D2" w:rsidRDefault="00E658D2" w:rsidP="00E658D2">
      <w:pPr>
        <w:pStyle w:val="Heading3"/>
        <w:rPr>
          <w:i/>
        </w:rPr>
      </w:pPr>
      <w:bookmarkStart w:id="116" w:name="_Toc509576774"/>
      <w:r>
        <w:t xml:space="preserve">7.1.2 Previous versus current </w:t>
      </w:r>
      <w:r>
        <w:rPr>
          <w:i/>
        </w:rPr>
        <w:t>ex-ante</w:t>
      </w:r>
      <w:bookmarkEnd w:id="116"/>
    </w:p>
    <w:p w14:paraId="366B3A62" w14:textId="1323C243" w:rsidR="00473271" w:rsidRPr="00850236" w:rsidRDefault="00473271" w:rsidP="00473271">
      <w:r>
        <w:t xml:space="preserve">In this sub-section, we compare the </w:t>
      </w:r>
      <w:r w:rsidRPr="00933F01">
        <w:rPr>
          <w:i/>
        </w:rPr>
        <w:t>ex-ante</w:t>
      </w:r>
      <w:r>
        <w:t xml:space="preserve"> forecast prepared following PY2016 (the “previous study”) to the </w:t>
      </w:r>
      <w:r w:rsidRPr="00933F01">
        <w:rPr>
          <w:i/>
        </w:rPr>
        <w:t>ex-ante</w:t>
      </w:r>
      <w:r>
        <w:t xml:space="preserve"> forecast contained in this study (the “current study”). </w:t>
      </w:r>
      <w:r w:rsidR="00846952">
        <w:t xml:space="preserve">Table 7.2 </w:t>
      </w:r>
      <w:r>
        <w:t xml:space="preserve">reports the average event-hour load impacts for the August 2018 </w:t>
      </w:r>
      <w:r w:rsidR="00512CD8">
        <w:t xml:space="preserve">system </w:t>
      </w:r>
      <w:r>
        <w:t xml:space="preserve">peak day under utility-specific 1-in-2 weather conditions. </w:t>
      </w:r>
      <w:r w:rsidR="00850236">
        <w:t xml:space="preserve">The current study </w:t>
      </w:r>
      <w:r w:rsidR="00850236">
        <w:rPr>
          <w:i/>
        </w:rPr>
        <w:t>ex-ante</w:t>
      </w:r>
      <w:r w:rsidR="00076AEA">
        <w:rPr>
          <w:i/>
        </w:rPr>
        <w:t xml:space="preserve"> </w:t>
      </w:r>
      <w:r w:rsidR="00076AEA">
        <w:t>forecast</w:t>
      </w:r>
      <w:r w:rsidR="00850236">
        <w:rPr>
          <w:i/>
        </w:rPr>
        <w:t xml:space="preserve"> </w:t>
      </w:r>
      <w:r w:rsidR="00850236">
        <w:t xml:space="preserve">has similar percentage load impacts. Per-customer reference loads and CPP load impacts are slightly higher in the current study. </w:t>
      </w:r>
      <w:r w:rsidR="00C9000F">
        <w:t>This is caused</w:t>
      </w:r>
      <w:r w:rsidR="00850236">
        <w:t xml:space="preserve"> by the higher event-window temperatures as well as </w:t>
      </w:r>
      <w:r w:rsidR="00C9000F">
        <w:t xml:space="preserve">the shorter </w:t>
      </w:r>
      <w:r w:rsidR="00850236">
        <w:t xml:space="preserve">CPP event-window in the current study, covering the later event hours </w:t>
      </w:r>
      <w:r w:rsidR="00C9000F">
        <w:t xml:space="preserve">that typically </w:t>
      </w:r>
      <w:r w:rsidR="00850236">
        <w:t xml:space="preserve">correspond to higher reference loads and temperatures. </w:t>
      </w:r>
    </w:p>
    <w:p w14:paraId="3316D420" w14:textId="3B3DD86C" w:rsidR="00846952" w:rsidRDefault="00846952" w:rsidP="00846952">
      <w:pPr>
        <w:pStyle w:val="TableCaption"/>
        <w:keepNext/>
        <w:keepLines/>
      </w:pPr>
      <w:bookmarkStart w:id="117" w:name="_Toc509576802"/>
      <w:r>
        <w:t xml:space="preserve">Table 7.2 Comparison of PY2016 </w:t>
      </w:r>
      <w:r w:rsidRPr="002B3851">
        <w:rPr>
          <w:i/>
        </w:rPr>
        <w:t>Ex-</w:t>
      </w:r>
      <w:r>
        <w:rPr>
          <w:i/>
        </w:rPr>
        <w:t xml:space="preserve">Ante </w:t>
      </w:r>
      <w:r>
        <w:t xml:space="preserve">2018 Forecast and Current </w:t>
      </w:r>
      <w:r w:rsidRPr="002B3851">
        <w:rPr>
          <w:i/>
        </w:rPr>
        <w:t>Ex-</w:t>
      </w:r>
      <w:r>
        <w:rPr>
          <w:i/>
        </w:rPr>
        <w:t>Ante</w:t>
      </w:r>
      <w:r>
        <w:t xml:space="preserve"> 2018 Forecast Load Impacts, </w:t>
      </w:r>
      <w:r w:rsidRPr="00D87BC7">
        <w:rPr>
          <w:i/>
        </w:rPr>
        <w:t>CPP Event</w:t>
      </w:r>
      <w:bookmarkEnd w:id="117"/>
      <w:r>
        <w:t xml:space="preserve"> </w:t>
      </w:r>
    </w:p>
    <w:tbl>
      <w:tblPr>
        <w:tblW w:w="6924" w:type="dxa"/>
        <w:jc w:val="center"/>
        <w:tblLook w:val="04A0" w:firstRow="1" w:lastRow="0" w:firstColumn="1" w:lastColumn="0" w:noHBand="0" w:noVBand="1"/>
      </w:tblPr>
      <w:tblGrid>
        <w:gridCol w:w="3180"/>
        <w:gridCol w:w="1872"/>
        <w:gridCol w:w="1872"/>
      </w:tblGrid>
      <w:tr w:rsidR="00850236" w:rsidRPr="00B408D4" w14:paraId="04D0AE7F" w14:textId="77777777" w:rsidTr="00076AEA">
        <w:trPr>
          <w:trHeight w:val="244"/>
          <w:jc w:val="center"/>
        </w:trPr>
        <w:tc>
          <w:tcPr>
            <w:tcW w:w="3180" w:type="dxa"/>
            <w:vMerge w:val="restart"/>
            <w:tcBorders>
              <w:top w:val="single" w:sz="4" w:space="0" w:color="auto"/>
              <w:left w:val="single" w:sz="4" w:space="0" w:color="auto"/>
              <w:bottom w:val="single" w:sz="4" w:space="0" w:color="auto"/>
              <w:right w:val="nil"/>
            </w:tcBorders>
            <w:shd w:val="clear" w:color="000000" w:fill="132577"/>
            <w:noWrap/>
            <w:vAlign w:val="center"/>
            <w:hideMark/>
          </w:tcPr>
          <w:p w14:paraId="32A9C993" w14:textId="77777777" w:rsidR="00850236" w:rsidRPr="00B408D4" w:rsidRDefault="00850236" w:rsidP="00821801">
            <w:pPr>
              <w:keepNext/>
              <w:jc w:val="center"/>
              <w:rPr>
                <w:rFonts w:cs="Calibri"/>
                <w:b/>
                <w:bCs/>
                <w:color w:val="FFFFFF"/>
                <w:sz w:val="20"/>
                <w:szCs w:val="20"/>
              </w:rPr>
            </w:pPr>
            <w:r w:rsidRPr="00B408D4">
              <w:rPr>
                <w:rFonts w:cs="Calibri"/>
                <w:b/>
                <w:bCs/>
                <w:color w:val="FFFFFF"/>
                <w:sz w:val="20"/>
                <w:szCs w:val="20"/>
              </w:rPr>
              <w:t>Result</w:t>
            </w:r>
          </w:p>
        </w:tc>
        <w:tc>
          <w:tcPr>
            <w:tcW w:w="1872" w:type="dxa"/>
            <w:vMerge w:val="restart"/>
            <w:tcBorders>
              <w:top w:val="single" w:sz="4" w:space="0" w:color="auto"/>
              <w:left w:val="single" w:sz="4" w:space="0" w:color="FFFFFF"/>
              <w:bottom w:val="single" w:sz="4" w:space="0" w:color="auto"/>
              <w:right w:val="single" w:sz="4" w:space="0" w:color="FFFFFF"/>
            </w:tcBorders>
            <w:shd w:val="clear" w:color="000000" w:fill="132577"/>
            <w:vAlign w:val="center"/>
            <w:hideMark/>
          </w:tcPr>
          <w:p w14:paraId="36A6E857" w14:textId="77777777" w:rsidR="00850236" w:rsidRPr="00B408D4" w:rsidRDefault="00850236" w:rsidP="00821801">
            <w:pPr>
              <w:keepNext/>
              <w:jc w:val="center"/>
              <w:rPr>
                <w:rFonts w:cs="Calibri"/>
                <w:b/>
                <w:bCs/>
                <w:i/>
                <w:iCs/>
                <w:color w:val="FFFFFF"/>
                <w:sz w:val="20"/>
                <w:szCs w:val="20"/>
              </w:rPr>
            </w:pPr>
            <w:r w:rsidRPr="00B408D4">
              <w:rPr>
                <w:rFonts w:cs="Calibri"/>
                <w:b/>
                <w:bCs/>
                <w:i/>
                <w:iCs/>
                <w:color w:val="FFFFFF"/>
                <w:sz w:val="20"/>
                <w:szCs w:val="20"/>
              </w:rPr>
              <w:t>Ex-ante for 2018 System Peak Day from PY2016 Study</w:t>
            </w:r>
          </w:p>
        </w:tc>
        <w:tc>
          <w:tcPr>
            <w:tcW w:w="1872" w:type="dxa"/>
            <w:vMerge w:val="restart"/>
            <w:tcBorders>
              <w:top w:val="single" w:sz="4" w:space="0" w:color="auto"/>
              <w:left w:val="single" w:sz="4" w:space="0" w:color="FFFFFF"/>
              <w:bottom w:val="single" w:sz="4" w:space="0" w:color="auto"/>
              <w:right w:val="single" w:sz="4" w:space="0" w:color="auto"/>
            </w:tcBorders>
            <w:shd w:val="clear" w:color="000000" w:fill="132577"/>
            <w:vAlign w:val="center"/>
            <w:hideMark/>
          </w:tcPr>
          <w:p w14:paraId="3C2C2693" w14:textId="77777777" w:rsidR="00850236" w:rsidRPr="00B408D4" w:rsidRDefault="00850236" w:rsidP="00821801">
            <w:pPr>
              <w:keepNext/>
              <w:jc w:val="center"/>
              <w:rPr>
                <w:rFonts w:cs="Calibri"/>
                <w:b/>
                <w:bCs/>
                <w:i/>
                <w:iCs/>
                <w:color w:val="FFFFFF"/>
                <w:sz w:val="20"/>
                <w:szCs w:val="20"/>
              </w:rPr>
            </w:pPr>
            <w:r w:rsidRPr="00B408D4">
              <w:rPr>
                <w:rFonts w:cs="Calibri"/>
                <w:b/>
                <w:bCs/>
                <w:i/>
                <w:iCs/>
                <w:color w:val="FFFFFF"/>
                <w:sz w:val="20"/>
                <w:szCs w:val="20"/>
              </w:rPr>
              <w:t>Ex-ante for 2018 System Peak Day from PY2017 Study</w:t>
            </w:r>
          </w:p>
        </w:tc>
      </w:tr>
      <w:tr w:rsidR="00850236" w:rsidRPr="00B408D4" w14:paraId="19651C57" w14:textId="77777777" w:rsidTr="00076AEA">
        <w:trPr>
          <w:trHeight w:val="293"/>
          <w:jc w:val="center"/>
        </w:trPr>
        <w:tc>
          <w:tcPr>
            <w:tcW w:w="3180" w:type="dxa"/>
            <w:vMerge/>
            <w:tcBorders>
              <w:top w:val="single" w:sz="4" w:space="0" w:color="auto"/>
              <w:left w:val="single" w:sz="4" w:space="0" w:color="auto"/>
              <w:bottom w:val="single" w:sz="4" w:space="0" w:color="auto"/>
              <w:right w:val="nil"/>
            </w:tcBorders>
            <w:vAlign w:val="center"/>
            <w:hideMark/>
          </w:tcPr>
          <w:p w14:paraId="5590C7A5" w14:textId="77777777" w:rsidR="00850236" w:rsidRPr="00B408D4" w:rsidRDefault="00850236" w:rsidP="00821801">
            <w:pPr>
              <w:keepNext/>
              <w:rPr>
                <w:rFonts w:cs="Calibri"/>
                <w:b/>
                <w:bCs/>
                <w:color w:val="FFFFFF"/>
                <w:sz w:val="20"/>
                <w:szCs w:val="20"/>
              </w:rPr>
            </w:pPr>
          </w:p>
        </w:tc>
        <w:tc>
          <w:tcPr>
            <w:tcW w:w="1872" w:type="dxa"/>
            <w:vMerge/>
            <w:tcBorders>
              <w:top w:val="single" w:sz="4" w:space="0" w:color="auto"/>
              <w:left w:val="single" w:sz="4" w:space="0" w:color="FFFFFF"/>
              <w:bottom w:val="single" w:sz="4" w:space="0" w:color="auto"/>
              <w:right w:val="single" w:sz="4" w:space="0" w:color="FFFFFF"/>
            </w:tcBorders>
            <w:vAlign w:val="center"/>
            <w:hideMark/>
          </w:tcPr>
          <w:p w14:paraId="2E47F5C9" w14:textId="77777777" w:rsidR="00850236" w:rsidRPr="00B408D4" w:rsidRDefault="00850236" w:rsidP="00821801">
            <w:pPr>
              <w:keepNext/>
              <w:rPr>
                <w:rFonts w:cs="Calibri"/>
                <w:b/>
                <w:bCs/>
                <w:i/>
                <w:iCs/>
                <w:color w:val="FFFFFF"/>
                <w:sz w:val="20"/>
                <w:szCs w:val="20"/>
              </w:rPr>
            </w:pPr>
          </w:p>
        </w:tc>
        <w:tc>
          <w:tcPr>
            <w:tcW w:w="1872" w:type="dxa"/>
            <w:vMerge/>
            <w:tcBorders>
              <w:top w:val="single" w:sz="4" w:space="0" w:color="auto"/>
              <w:left w:val="single" w:sz="4" w:space="0" w:color="FFFFFF"/>
              <w:bottom w:val="single" w:sz="4" w:space="0" w:color="auto"/>
              <w:right w:val="single" w:sz="4" w:space="0" w:color="auto"/>
            </w:tcBorders>
            <w:vAlign w:val="center"/>
            <w:hideMark/>
          </w:tcPr>
          <w:p w14:paraId="19ACE8A1" w14:textId="77777777" w:rsidR="00850236" w:rsidRPr="00B408D4" w:rsidRDefault="00850236" w:rsidP="00821801">
            <w:pPr>
              <w:keepNext/>
              <w:rPr>
                <w:rFonts w:cs="Calibri"/>
                <w:b/>
                <w:bCs/>
                <w:i/>
                <w:iCs/>
                <w:color w:val="FFFFFF"/>
                <w:sz w:val="20"/>
                <w:szCs w:val="20"/>
              </w:rPr>
            </w:pPr>
          </w:p>
        </w:tc>
      </w:tr>
      <w:tr w:rsidR="00850236" w:rsidRPr="00B408D4" w14:paraId="43618B34" w14:textId="77777777" w:rsidTr="00850236">
        <w:trPr>
          <w:trHeight w:val="144"/>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4385EE43" w14:textId="77777777" w:rsidR="00850236" w:rsidRPr="00B408D4" w:rsidRDefault="00850236" w:rsidP="00512CD8">
            <w:pPr>
              <w:keepNext/>
              <w:rPr>
                <w:rFonts w:cs="Calibri"/>
                <w:color w:val="000000"/>
                <w:sz w:val="20"/>
                <w:szCs w:val="20"/>
              </w:rPr>
            </w:pPr>
            <w:r w:rsidRPr="00B408D4">
              <w:rPr>
                <w:rFonts w:cs="Calibri"/>
                <w:color w:val="000000"/>
                <w:sz w:val="20"/>
                <w:szCs w:val="20"/>
              </w:rPr>
              <w:t># Enrolled</w:t>
            </w:r>
          </w:p>
        </w:tc>
        <w:tc>
          <w:tcPr>
            <w:tcW w:w="1872" w:type="dxa"/>
            <w:tcBorders>
              <w:top w:val="nil"/>
              <w:left w:val="nil"/>
              <w:bottom w:val="single" w:sz="4" w:space="0" w:color="auto"/>
              <w:right w:val="single" w:sz="4" w:space="0" w:color="auto"/>
            </w:tcBorders>
            <w:shd w:val="clear" w:color="auto" w:fill="auto"/>
            <w:noWrap/>
            <w:vAlign w:val="center"/>
            <w:hideMark/>
          </w:tcPr>
          <w:p w14:paraId="04125071" w14:textId="2EC8169B" w:rsidR="00850236" w:rsidRPr="00B408D4" w:rsidRDefault="00850236" w:rsidP="00512CD8">
            <w:pPr>
              <w:keepNext/>
              <w:jc w:val="center"/>
              <w:rPr>
                <w:rFonts w:cs="Calibri"/>
                <w:color w:val="000000"/>
                <w:sz w:val="20"/>
                <w:szCs w:val="20"/>
              </w:rPr>
            </w:pPr>
            <w:r>
              <w:rPr>
                <w:rFonts w:cs="Calibri"/>
                <w:color w:val="000000"/>
                <w:sz w:val="20"/>
                <w:szCs w:val="20"/>
              </w:rPr>
              <w:t>3,729</w:t>
            </w:r>
          </w:p>
        </w:tc>
        <w:tc>
          <w:tcPr>
            <w:tcW w:w="1872" w:type="dxa"/>
            <w:tcBorders>
              <w:top w:val="nil"/>
              <w:left w:val="nil"/>
              <w:bottom w:val="single" w:sz="4" w:space="0" w:color="auto"/>
              <w:right w:val="single" w:sz="4" w:space="0" w:color="auto"/>
            </w:tcBorders>
            <w:shd w:val="clear" w:color="auto" w:fill="auto"/>
            <w:noWrap/>
            <w:vAlign w:val="center"/>
            <w:hideMark/>
          </w:tcPr>
          <w:p w14:paraId="4DA4B932" w14:textId="2FD62978" w:rsidR="00850236" w:rsidRPr="00B408D4" w:rsidRDefault="00850236" w:rsidP="00512CD8">
            <w:pPr>
              <w:keepNext/>
              <w:jc w:val="center"/>
              <w:rPr>
                <w:rFonts w:cs="Calibri"/>
                <w:color w:val="000000"/>
                <w:sz w:val="20"/>
                <w:szCs w:val="20"/>
              </w:rPr>
            </w:pPr>
            <w:r>
              <w:rPr>
                <w:rFonts w:cs="Calibri"/>
                <w:color w:val="000000"/>
                <w:sz w:val="20"/>
                <w:szCs w:val="20"/>
              </w:rPr>
              <w:t>5,611</w:t>
            </w:r>
          </w:p>
        </w:tc>
      </w:tr>
      <w:tr w:rsidR="00850236" w:rsidRPr="00B408D4" w14:paraId="304FF52D" w14:textId="77777777" w:rsidTr="00850236">
        <w:trPr>
          <w:trHeight w:val="144"/>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24AB1249" w14:textId="77777777" w:rsidR="00850236" w:rsidRPr="00B408D4" w:rsidRDefault="00850236" w:rsidP="00512CD8">
            <w:pPr>
              <w:keepNext/>
              <w:rPr>
                <w:rFonts w:cs="Calibri"/>
                <w:color w:val="000000"/>
                <w:sz w:val="20"/>
                <w:szCs w:val="20"/>
              </w:rPr>
            </w:pPr>
            <w:r w:rsidRPr="00B408D4">
              <w:rPr>
                <w:rFonts w:cs="Calibri"/>
                <w:color w:val="000000"/>
                <w:sz w:val="20"/>
                <w:szCs w:val="20"/>
              </w:rPr>
              <w:t>Reference (MWh/h)</w:t>
            </w:r>
          </w:p>
        </w:tc>
        <w:tc>
          <w:tcPr>
            <w:tcW w:w="1872" w:type="dxa"/>
            <w:tcBorders>
              <w:top w:val="nil"/>
              <w:left w:val="nil"/>
              <w:bottom w:val="single" w:sz="4" w:space="0" w:color="auto"/>
              <w:right w:val="single" w:sz="4" w:space="0" w:color="auto"/>
            </w:tcBorders>
            <w:shd w:val="clear" w:color="auto" w:fill="auto"/>
            <w:noWrap/>
            <w:vAlign w:val="center"/>
            <w:hideMark/>
          </w:tcPr>
          <w:p w14:paraId="51E93FC1" w14:textId="4962FCA1" w:rsidR="00850236" w:rsidRPr="00B408D4" w:rsidRDefault="00850236" w:rsidP="00512CD8">
            <w:pPr>
              <w:keepNext/>
              <w:jc w:val="center"/>
              <w:rPr>
                <w:rFonts w:cs="Calibri"/>
                <w:color w:val="000000"/>
                <w:sz w:val="20"/>
                <w:szCs w:val="20"/>
              </w:rPr>
            </w:pPr>
            <w:r>
              <w:rPr>
                <w:rFonts w:cs="Calibri"/>
                <w:color w:val="000000"/>
                <w:sz w:val="20"/>
                <w:szCs w:val="20"/>
              </w:rPr>
              <w:t>4.11</w:t>
            </w:r>
          </w:p>
        </w:tc>
        <w:tc>
          <w:tcPr>
            <w:tcW w:w="1872" w:type="dxa"/>
            <w:tcBorders>
              <w:top w:val="nil"/>
              <w:left w:val="nil"/>
              <w:bottom w:val="single" w:sz="4" w:space="0" w:color="auto"/>
              <w:right w:val="single" w:sz="4" w:space="0" w:color="auto"/>
            </w:tcBorders>
            <w:shd w:val="clear" w:color="auto" w:fill="auto"/>
            <w:noWrap/>
            <w:vAlign w:val="center"/>
            <w:hideMark/>
          </w:tcPr>
          <w:p w14:paraId="7C3FA2A8" w14:textId="2A2EC449" w:rsidR="00850236" w:rsidRPr="00B408D4" w:rsidRDefault="00850236" w:rsidP="00512CD8">
            <w:pPr>
              <w:keepNext/>
              <w:jc w:val="center"/>
              <w:rPr>
                <w:rFonts w:cs="Calibri"/>
                <w:color w:val="000000"/>
                <w:sz w:val="20"/>
                <w:szCs w:val="20"/>
              </w:rPr>
            </w:pPr>
            <w:r>
              <w:rPr>
                <w:rFonts w:cs="Calibri"/>
                <w:color w:val="000000"/>
                <w:sz w:val="20"/>
                <w:szCs w:val="20"/>
              </w:rPr>
              <w:t>7.72</w:t>
            </w:r>
          </w:p>
        </w:tc>
      </w:tr>
      <w:tr w:rsidR="00850236" w:rsidRPr="00B408D4" w14:paraId="688769D6" w14:textId="77777777" w:rsidTr="00850236">
        <w:trPr>
          <w:trHeight w:val="144"/>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1B819714" w14:textId="77777777" w:rsidR="00850236" w:rsidRPr="00B408D4" w:rsidRDefault="00850236" w:rsidP="00512CD8">
            <w:pPr>
              <w:keepNext/>
              <w:rPr>
                <w:rFonts w:cs="Calibri"/>
                <w:color w:val="000000"/>
                <w:sz w:val="20"/>
                <w:szCs w:val="20"/>
              </w:rPr>
            </w:pPr>
            <w:r w:rsidRPr="00B408D4">
              <w:rPr>
                <w:rFonts w:cs="Calibri"/>
                <w:color w:val="000000"/>
                <w:sz w:val="20"/>
                <w:szCs w:val="20"/>
              </w:rPr>
              <w:t>Load Impact (MWh/h)</w:t>
            </w:r>
          </w:p>
        </w:tc>
        <w:tc>
          <w:tcPr>
            <w:tcW w:w="1872" w:type="dxa"/>
            <w:tcBorders>
              <w:top w:val="nil"/>
              <w:left w:val="nil"/>
              <w:bottom w:val="single" w:sz="4" w:space="0" w:color="auto"/>
              <w:right w:val="single" w:sz="4" w:space="0" w:color="auto"/>
            </w:tcBorders>
            <w:shd w:val="clear" w:color="auto" w:fill="auto"/>
            <w:noWrap/>
            <w:vAlign w:val="center"/>
            <w:hideMark/>
          </w:tcPr>
          <w:p w14:paraId="558D92B0" w14:textId="5A6C3502" w:rsidR="00850236" w:rsidRPr="00B408D4" w:rsidRDefault="00850236" w:rsidP="00512CD8">
            <w:pPr>
              <w:keepNext/>
              <w:jc w:val="center"/>
              <w:rPr>
                <w:rFonts w:cs="Calibri"/>
                <w:color w:val="000000"/>
                <w:sz w:val="20"/>
                <w:szCs w:val="20"/>
              </w:rPr>
            </w:pPr>
            <w:r>
              <w:rPr>
                <w:rFonts w:cs="Calibri"/>
                <w:color w:val="000000"/>
                <w:sz w:val="20"/>
                <w:szCs w:val="20"/>
              </w:rPr>
              <w:t>0.50</w:t>
            </w:r>
          </w:p>
        </w:tc>
        <w:tc>
          <w:tcPr>
            <w:tcW w:w="1872" w:type="dxa"/>
            <w:tcBorders>
              <w:top w:val="nil"/>
              <w:left w:val="nil"/>
              <w:bottom w:val="single" w:sz="4" w:space="0" w:color="auto"/>
              <w:right w:val="single" w:sz="4" w:space="0" w:color="auto"/>
            </w:tcBorders>
            <w:shd w:val="clear" w:color="auto" w:fill="auto"/>
            <w:noWrap/>
            <w:vAlign w:val="center"/>
            <w:hideMark/>
          </w:tcPr>
          <w:p w14:paraId="33413B29" w14:textId="52B1D42C" w:rsidR="00850236" w:rsidRPr="00B408D4" w:rsidRDefault="00850236" w:rsidP="00512CD8">
            <w:pPr>
              <w:keepNext/>
              <w:jc w:val="center"/>
              <w:rPr>
                <w:rFonts w:cs="Calibri"/>
                <w:color w:val="000000"/>
                <w:sz w:val="20"/>
                <w:szCs w:val="20"/>
              </w:rPr>
            </w:pPr>
            <w:r>
              <w:rPr>
                <w:rFonts w:cs="Calibri"/>
                <w:color w:val="000000"/>
                <w:sz w:val="20"/>
                <w:szCs w:val="20"/>
              </w:rPr>
              <w:t>1.03</w:t>
            </w:r>
          </w:p>
        </w:tc>
      </w:tr>
      <w:tr w:rsidR="00850236" w:rsidRPr="00B408D4" w14:paraId="345504EB" w14:textId="77777777" w:rsidTr="00850236">
        <w:trPr>
          <w:trHeight w:val="144"/>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0923FF2C" w14:textId="77777777" w:rsidR="00850236" w:rsidRPr="00B408D4" w:rsidRDefault="00850236" w:rsidP="00512CD8">
            <w:pPr>
              <w:keepNext/>
              <w:rPr>
                <w:rFonts w:cs="Calibri"/>
                <w:color w:val="000000"/>
                <w:sz w:val="20"/>
                <w:szCs w:val="20"/>
              </w:rPr>
            </w:pPr>
            <w:r w:rsidRPr="00B408D4">
              <w:rPr>
                <w:rFonts w:cs="Calibri"/>
                <w:color w:val="000000"/>
                <w:sz w:val="20"/>
                <w:szCs w:val="20"/>
              </w:rPr>
              <w:t>Per-customer reference (kWh/h)</w:t>
            </w:r>
          </w:p>
        </w:tc>
        <w:tc>
          <w:tcPr>
            <w:tcW w:w="1872" w:type="dxa"/>
            <w:tcBorders>
              <w:top w:val="nil"/>
              <w:left w:val="nil"/>
              <w:bottom w:val="single" w:sz="4" w:space="0" w:color="auto"/>
              <w:right w:val="single" w:sz="4" w:space="0" w:color="auto"/>
            </w:tcBorders>
            <w:shd w:val="clear" w:color="auto" w:fill="auto"/>
            <w:noWrap/>
            <w:vAlign w:val="center"/>
            <w:hideMark/>
          </w:tcPr>
          <w:p w14:paraId="4500F5BA" w14:textId="35D2C096" w:rsidR="00850236" w:rsidRPr="00B408D4" w:rsidRDefault="00850236" w:rsidP="00512CD8">
            <w:pPr>
              <w:keepNext/>
              <w:jc w:val="center"/>
              <w:rPr>
                <w:rFonts w:cs="Calibri"/>
                <w:color w:val="000000"/>
                <w:sz w:val="20"/>
                <w:szCs w:val="20"/>
              </w:rPr>
            </w:pPr>
            <w:r>
              <w:rPr>
                <w:rFonts w:cs="Calibri"/>
                <w:color w:val="000000"/>
                <w:sz w:val="20"/>
                <w:szCs w:val="20"/>
              </w:rPr>
              <w:t>1.10</w:t>
            </w:r>
          </w:p>
        </w:tc>
        <w:tc>
          <w:tcPr>
            <w:tcW w:w="1872" w:type="dxa"/>
            <w:tcBorders>
              <w:top w:val="nil"/>
              <w:left w:val="nil"/>
              <w:bottom w:val="single" w:sz="4" w:space="0" w:color="auto"/>
              <w:right w:val="single" w:sz="4" w:space="0" w:color="auto"/>
            </w:tcBorders>
            <w:shd w:val="clear" w:color="auto" w:fill="auto"/>
            <w:noWrap/>
            <w:vAlign w:val="center"/>
            <w:hideMark/>
          </w:tcPr>
          <w:p w14:paraId="50DFC9FE" w14:textId="4DB168CB" w:rsidR="00850236" w:rsidRPr="00B408D4" w:rsidRDefault="00850236" w:rsidP="00512CD8">
            <w:pPr>
              <w:keepNext/>
              <w:jc w:val="center"/>
              <w:rPr>
                <w:rFonts w:cs="Calibri"/>
                <w:color w:val="000000"/>
                <w:sz w:val="20"/>
                <w:szCs w:val="20"/>
              </w:rPr>
            </w:pPr>
            <w:r>
              <w:rPr>
                <w:rFonts w:cs="Calibri"/>
                <w:color w:val="000000"/>
                <w:sz w:val="20"/>
                <w:szCs w:val="20"/>
              </w:rPr>
              <w:t>1.38</w:t>
            </w:r>
          </w:p>
        </w:tc>
      </w:tr>
      <w:tr w:rsidR="00850236" w:rsidRPr="00B408D4" w14:paraId="5E8D8C7F" w14:textId="77777777" w:rsidTr="00850236">
        <w:trPr>
          <w:trHeight w:val="144"/>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72BA11D3" w14:textId="77777777" w:rsidR="00850236" w:rsidRPr="00B408D4" w:rsidRDefault="00850236" w:rsidP="00512CD8">
            <w:pPr>
              <w:keepNext/>
              <w:rPr>
                <w:rFonts w:cs="Calibri"/>
                <w:color w:val="000000"/>
                <w:sz w:val="20"/>
                <w:szCs w:val="20"/>
              </w:rPr>
            </w:pPr>
            <w:r w:rsidRPr="00B408D4">
              <w:rPr>
                <w:rFonts w:cs="Calibri"/>
                <w:color w:val="000000"/>
                <w:sz w:val="20"/>
                <w:szCs w:val="20"/>
              </w:rPr>
              <w:t>Per-customer load impact (kWh/h)</w:t>
            </w:r>
          </w:p>
        </w:tc>
        <w:tc>
          <w:tcPr>
            <w:tcW w:w="1872" w:type="dxa"/>
            <w:tcBorders>
              <w:top w:val="nil"/>
              <w:left w:val="nil"/>
              <w:bottom w:val="single" w:sz="4" w:space="0" w:color="auto"/>
              <w:right w:val="single" w:sz="4" w:space="0" w:color="auto"/>
            </w:tcBorders>
            <w:shd w:val="clear" w:color="auto" w:fill="auto"/>
            <w:noWrap/>
            <w:vAlign w:val="center"/>
            <w:hideMark/>
          </w:tcPr>
          <w:p w14:paraId="674ABA2B" w14:textId="7ADDE61F" w:rsidR="00850236" w:rsidRPr="00B408D4" w:rsidRDefault="00850236" w:rsidP="00512CD8">
            <w:pPr>
              <w:keepNext/>
              <w:jc w:val="center"/>
              <w:rPr>
                <w:rFonts w:cs="Calibri"/>
                <w:color w:val="000000"/>
                <w:sz w:val="20"/>
                <w:szCs w:val="20"/>
              </w:rPr>
            </w:pPr>
            <w:r>
              <w:rPr>
                <w:rFonts w:cs="Calibri"/>
                <w:color w:val="000000"/>
                <w:sz w:val="20"/>
                <w:szCs w:val="20"/>
              </w:rPr>
              <w:t>0.14</w:t>
            </w:r>
          </w:p>
        </w:tc>
        <w:tc>
          <w:tcPr>
            <w:tcW w:w="1872" w:type="dxa"/>
            <w:tcBorders>
              <w:top w:val="nil"/>
              <w:left w:val="nil"/>
              <w:bottom w:val="single" w:sz="4" w:space="0" w:color="auto"/>
              <w:right w:val="single" w:sz="4" w:space="0" w:color="auto"/>
            </w:tcBorders>
            <w:shd w:val="clear" w:color="auto" w:fill="auto"/>
            <w:noWrap/>
            <w:vAlign w:val="center"/>
            <w:hideMark/>
          </w:tcPr>
          <w:p w14:paraId="38D500D4" w14:textId="753DE044" w:rsidR="00850236" w:rsidRPr="00B408D4" w:rsidRDefault="00850236" w:rsidP="00512CD8">
            <w:pPr>
              <w:keepNext/>
              <w:jc w:val="center"/>
              <w:rPr>
                <w:rFonts w:cs="Calibri"/>
                <w:color w:val="000000"/>
                <w:sz w:val="20"/>
                <w:szCs w:val="20"/>
              </w:rPr>
            </w:pPr>
            <w:r>
              <w:rPr>
                <w:rFonts w:cs="Calibri"/>
                <w:color w:val="000000"/>
                <w:sz w:val="20"/>
                <w:szCs w:val="20"/>
              </w:rPr>
              <w:t>0.18</w:t>
            </w:r>
          </w:p>
        </w:tc>
      </w:tr>
      <w:tr w:rsidR="00850236" w:rsidRPr="00B408D4" w14:paraId="311CD1AD" w14:textId="77777777" w:rsidTr="00850236">
        <w:trPr>
          <w:trHeight w:val="144"/>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644F9E9C" w14:textId="77777777" w:rsidR="00850236" w:rsidRPr="00B408D4" w:rsidRDefault="00850236" w:rsidP="00512CD8">
            <w:pPr>
              <w:keepNext/>
              <w:rPr>
                <w:rFonts w:cs="Calibri"/>
                <w:color w:val="000000"/>
                <w:sz w:val="20"/>
                <w:szCs w:val="20"/>
              </w:rPr>
            </w:pPr>
            <w:r w:rsidRPr="00B408D4">
              <w:rPr>
                <w:rFonts w:cs="Calibri"/>
                <w:color w:val="000000"/>
                <w:sz w:val="20"/>
                <w:szCs w:val="20"/>
              </w:rPr>
              <w:t>% Load Impact</w:t>
            </w:r>
          </w:p>
        </w:tc>
        <w:tc>
          <w:tcPr>
            <w:tcW w:w="1872" w:type="dxa"/>
            <w:tcBorders>
              <w:top w:val="nil"/>
              <w:left w:val="nil"/>
              <w:bottom w:val="single" w:sz="4" w:space="0" w:color="auto"/>
              <w:right w:val="single" w:sz="4" w:space="0" w:color="auto"/>
            </w:tcBorders>
            <w:shd w:val="clear" w:color="auto" w:fill="auto"/>
            <w:noWrap/>
            <w:vAlign w:val="center"/>
            <w:hideMark/>
          </w:tcPr>
          <w:p w14:paraId="5D84AC33" w14:textId="3E71D44F" w:rsidR="00850236" w:rsidRPr="00B408D4" w:rsidRDefault="00850236" w:rsidP="00512CD8">
            <w:pPr>
              <w:keepNext/>
              <w:jc w:val="center"/>
              <w:rPr>
                <w:rFonts w:cs="Calibri"/>
                <w:color w:val="000000"/>
                <w:sz w:val="20"/>
                <w:szCs w:val="20"/>
              </w:rPr>
            </w:pPr>
            <w:r>
              <w:rPr>
                <w:rFonts w:cs="Calibri"/>
                <w:color w:val="000000"/>
                <w:sz w:val="20"/>
                <w:szCs w:val="20"/>
              </w:rPr>
              <w:t>12.28%</w:t>
            </w:r>
          </w:p>
        </w:tc>
        <w:tc>
          <w:tcPr>
            <w:tcW w:w="1872" w:type="dxa"/>
            <w:tcBorders>
              <w:top w:val="nil"/>
              <w:left w:val="nil"/>
              <w:bottom w:val="single" w:sz="4" w:space="0" w:color="auto"/>
              <w:right w:val="single" w:sz="4" w:space="0" w:color="auto"/>
            </w:tcBorders>
            <w:shd w:val="clear" w:color="auto" w:fill="auto"/>
            <w:noWrap/>
            <w:vAlign w:val="center"/>
            <w:hideMark/>
          </w:tcPr>
          <w:p w14:paraId="45CEFF16" w14:textId="599B89A0" w:rsidR="00850236" w:rsidRPr="00B408D4" w:rsidRDefault="00850236" w:rsidP="00512CD8">
            <w:pPr>
              <w:keepNext/>
              <w:jc w:val="center"/>
              <w:rPr>
                <w:rFonts w:cs="Calibri"/>
                <w:color w:val="000000"/>
                <w:sz w:val="20"/>
                <w:szCs w:val="20"/>
              </w:rPr>
            </w:pPr>
            <w:r>
              <w:rPr>
                <w:rFonts w:cs="Calibri"/>
                <w:color w:val="000000"/>
                <w:sz w:val="20"/>
                <w:szCs w:val="20"/>
              </w:rPr>
              <w:t>13.35%</w:t>
            </w:r>
          </w:p>
        </w:tc>
      </w:tr>
      <w:tr w:rsidR="00850236" w:rsidRPr="00B408D4" w14:paraId="6D6CE4E5" w14:textId="77777777" w:rsidTr="00850236">
        <w:trPr>
          <w:trHeight w:val="144"/>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7A134C35" w14:textId="77777777" w:rsidR="00850236" w:rsidRPr="00B408D4" w:rsidRDefault="00850236" w:rsidP="00512CD8">
            <w:pPr>
              <w:keepNext/>
              <w:rPr>
                <w:rFonts w:cs="Calibri"/>
                <w:color w:val="000000"/>
                <w:sz w:val="20"/>
                <w:szCs w:val="20"/>
              </w:rPr>
            </w:pPr>
            <w:r w:rsidRPr="00B408D4">
              <w:rPr>
                <w:rFonts w:cs="Calibri"/>
                <w:color w:val="000000"/>
                <w:sz w:val="20"/>
                <w:szCs w:val="20"/>
              </w:rPr>
              <w:t>Temperature</w:t>
            </w:r>
          </w:p>
        </w:tc>
        <w:tc>
          <w:tcPr>
            <w:tcW w:w="1872" w:type="dxa"/>
            <w:tcBorders>
              <w:top w:val="nil"/>
              <w:left w:val="nil"/>
              <w:bottom w:val="single" w:sz="4" w:space="0" w:color="auto"/>
              <w:right w:val="single" w:sz="4" w:space="0" w:color="auto"/>
            </w:tcBorders>
            <w:shd w:val="clear" w:color="auto" w:fill="auto"/>
            <w:noWrap/>
            <w:vAlign w:val="center"/>
            <w:hideMark/>
          </w:tcPr>
          <w:p w14:paraId="515F87B0" w14:textId="5422792C" w:rsidR="00850236" w:rsidRPr="00B408D4" w:rsidRDefault="00850236" w:rsidP="00512CD8">
            <w:pPr>
              <w:keepNext/>
              <w:jc w:val="center"/>
              <w:rPr>
                <w:rFonts w:cs="Calibri"/>
                <w:color w:val="000000"/>
                <w:sz w:val="20"/>
                <w:szCs w:val="20"/>
              </w:rPr>
            </w:pPr>
            <w:r>
              <w:rPr>
                <w:rFonts w:cs="Calibri"/>
                <w:color w:val="000000"/>
                <w:sz w:val="20"/>
                <w:szCs w:val="20"/>
              </w:rPr>
              <w:t>85.3</w:t>
            </w:r>
          </w:p>
        </w:tc>
        <w:tc>
          <w:tcPr>
            <w:tcW w:w="1872" w:type="dxa"/>
            <w:tcBorders>
              <w:top w:val="nil"/>
              <w:left w:val="nil"/>
              <w:bottom w:val="single" w:sz="4" w:space="0" w:color="auto"/>
              <w:right w:val="single" w:sz="4" w:space="0" w:color="auto"/>
            </w:tcBorders>
            <w:shd w:val="clear" w:color="auto" w:fill="auto"/>
            <w:noWrap/>
            <w:vAlign w:val="center"/>
            <w:hideMark/>
          </w:tcPr>
          <w:p w14:paraId="58E53D48" w14:textId="1C0CADFA" w:rsidR="00850236" w:rsidRPr="00B408D4" w:rsidRDefault="00850236" w:rsidP="00512CD8">
            <w:pPr>
              <w:keepNext/>
              <w:jc w:val="center"/>
              <w:rPr>
                <w:rFonts w:cs="Calibri"/>
                <w:color w:val="000000"/>
                <w:sz w:val="20"/>
                <w:szCs w:val="20"/>
              </w:rPr>
            </w:pPr>
            <w:r>
              <w:rPr>
                <w:rFonts w:cs="Calibri"/>
                <w:color w:val="000000"/>
                <w:sz w:val="20"/>
                <w:szCs w:val="20"/>
              </w:rPr>
              <w:t>87.1</w:t>
            </w:r>
          </w:p>
        </w:tc>
      </w:tr>
    </w:tbl>
    <w:p w14:paraId="1A5355B5" w14:textId="77777777" w:rsidR="00473271" w:rsidRPr="00473271" w:rsidRDefault="00473271" w:rsidP="00473271"/>
    <w:p w14:paraId="1F96B662" w14:textId="661E45D8" w:rsidR="00E658D2" w:rsidRDefault="00E658D2" w:rsidP="00E658D2">
      <w:pPr>
        <w:pStyle w:val="Heading3"/>
        <w:rPr>
          <w:i/>
        </w:rPr>
      </w:pPr>
      <w:bookmarkStart w:id="118" w:name="_Toc509576775"/>
      <w:r>
        <w:t xml:space="preserve">7.1.3 Previous </w:t>
      </w:r>
      <w:r>
        <w:rPr>
          <w:i/>
        </w:rPr>
        <w:t>ex-ante</w:t>
      </w:r>
      <w:r>
        <w:t xml:space="preserve"> versus current </w:t>
      </w:r>
      <w:r>
        <w:rPr>
          <w:i/>
        </w:rPr>
        <w:t>ex-post</w:t>
      </w:r>
      <w:bookmarkEnd w:id="118"/>
    </w:p>
    <w:p w14:paraId="326A6794" w14:textId="10BC498C" w:rsidR="00473271" w:rsidRPr="00076AEA" w:rsidRDefault="00850236" w:rsidP="00473271">
      <w:r>
        <w:t xml:space="preserve">Table 7.3 </w:t>
      </w:r>
      <w:r w:rsidR="00473271">
        <w:t xml:space="preserve">provides a comparison of the </w:t>
      </w:r>
      <w:r w:rsidR="00473271" w:rsidRPr="005926F0">
        <w:rPr>
          <w:i/>
        </w:rPr>
        <w:t>ex-ante</w:t>
      </w:r>
      <w:r w:rsidR="00473271">
        <w:t xml:space="preserve"> forecast of 2017 load impacts prepared following PY2016 and the PY2017 load impacts estimated as part of this study</w:t>
      </w:r>
      <w:r>
        <w:t>, averaged over the CPP event-window</w:t>
      </w:r>
      <w:r w:rsidR="00473271">
        <w:t xml:space="preserve">. The </w:t>
      </w:r>
      <w:r w:rsidR="00473271" w:rsidRPr="005926F0">
        <w:rPr>
          <w:i/>
        </w:rPr>
        <w:t>ex-ante</w:t>
      </w:r>
      <w:r w:rsidR="00473271">
        <w:t xml:space="preserve"> forecast shown in the table represents the August peak day during a utility-specific 1-in-2 weather year. The </w:t>
      </w:r>
      <w:r w:rsidR="00473271" w:rsidRPr="005926F0">
        <w:rPr>
          <w:i/>
        </w:rPr>
        <w:t>ex-post</w:t>
      </w:r>
      <w:r w:rsidR="00473271">
        <w:t xml:space="preserve"> load impacts are based on the </w:t>
      </w:r>
      <w:r>
        <w:t xml:space="preserve">2017 </w:t>
      </w:r>
      <w:r w:rsidR="00473271">
        <w:t xml:space="preserve">average </w:t>
      </w:r>
      <w:r>
        <w:t xml:space="preserve">CPP </w:t>
      </w:r>
      <w:r w:rsidR="00473271">
        <w:t>event day.</w:t>
      </w:r>
      <w:r>
        <w:t xml:space="preserve"> The increase in aggregate loads </w:t>
      </w:r>
      <w:r w:rsidR="00076AEA">
        <w:t xml:space="preserve">and load </w:t>
      </w:r>
      <w:r w:rsidR="00076AEA">
        <w:lastRenderedPageBreak/>
        <w:t xml:space="preserve">impacts in from the PY2017 study </w:t>
      </w:r>
      <w:r>
        <w:t>is</w:t>
      </w:r>
      <w:r w:rsidR="00076AEA">
        <w:t xml:space="preserve"> mostly</w:t>
      </w:r>
      <w:r>
        <w:t xml:space="preserve"> driven</w:t>
      </w:r>
      <w:r w:rsidR="00076AEA">
        <w:t xml:space="preserve"> by difference in enrollment numbers. The percentage load impact is also higher which could be a result of the hotter temperatures realized in </w:t>
      </w:r>
      <w:r w:rsidR="00076AEA">
        <w:rPr>
          <w:i/>
        </w:rPr>
        <w:t>ex-post</w:t>
      </w:r>
      <w:r w:rsidR="00076AEA">
        <w:t>.</w:t>
      </w:r>
    </w:p>
    <w:p w14:paraId="32EE4F44" w14:textId="7875E507" w:rsidR="00846952" w:rsidRDefault="00846952" w:rsidP="00846952">
      <w:pPr>
        <w:pStyle w:val="TableCaption"/>
        <w:keepNext/>
        <w:keepLines/>
      </w:pPr>
      <w:bookmarkStart w:id="119" w:name="_Toc509576803"/>
      <w:r>
        <w:t>Table 7.</w:t>
      </w:r>
      <w:r w:rsidR="00850236">
        <w:t>3</w:t>
      </w:r>
      <w:r>
        <w:t xml:space="preserve"> Comparison of PY2016 </w:t>
      </w:r>
      <w:r w:rsidRPr="002B3851">
        <w:rPr>
          <w:i/>
        </w:rPr>
        <w:t>Ex-</w:t>
      </w:r>
      <w:r>
        <w:rPr>
          <w:i/>
        </w:rPr>
        <w:t xml:space="preserve">Ante </w:t>
      </w:r>
      <w:r w:rsidR="00850236">
        <w:t>2017</w:t>
      </w:r>
      <w:r>
        <w:t xml:space="preserve"> Forecast and Current </w:t>
      </w:r>
      <w:r w:rsidRPr="002B3851">
        <w:rPr>
          <w:i/>
        </w:rPr>
        <w:t>Ex-</w:t>
      </w:r>
      <w:r>
        <w:rPr>
          <w:i/>
        </w:rPr>
        <w:t>P</w:t>
      </w:r>
      <w:r w:rsidRPr="002B3851">
        <w:rPr>
          <w:i/>
        </w:rPr>
        <w:t>ost</w:t>
      </w:r>
      <w:r>
        <w:t xml:space="preserve"> Load Impacts, </w:t>
      </w:r>
      <w:r w:rsidRPr="00D87BC7">
        <w:rPr>
          <w:i/>
        </w:rPr>
        <w:t>CPP Event</w:t>
      </w:r>
      <w:bookmarkEnd w:id="119"/>
      <w:r>
        <w:t xml:space="preserve"> </w:t>
      </w:r>
    </w:p>
    <w:tbl>
      <w:tblPr>
        <w:tblW w:w="6924" w:type="dxa"/>
        <w:jc w:val="center"/>
        <w:tblLook w:val="04A0" w:firstRow="1" w:lastRow="0" w:firstColumn="1" w:lastColumn="0" w:noHBand="0" w:noVBand="1"/>
      </w:tblPr>
      <w:tblGrid>
        <w:gridCol w:w="3180"/>
        <w:gridCol w:w="1872"/>
        <w:gridCol w:w="1872"/>
      </w:tblGrid>
      <w:tr w:rsidR="00846952" w:rsidRPr="00B408D4" w14:paraId="4820D69D" w14:textId="77777777" w:rsidTr="00821801">
        <w:trPr>
          <w:trHeight w:val="244"/>
          <w:jc w:val="center"/>
        </w:trPr>
        <w:tc>
          <w:tcPr>
            <w:tcW w:w="3180" w:type="dxa"/>
            <w:vMerge w:val="restart"/>
            <w:tcBorders>
              <w:top w:val="single" w:sz="4" w:space="0" w:color="auto"/>
              <w:left w:val="single" w:sz="4" w:space="0" w:color="auto"/>
              <w:bottom w:val="single" w:sz="4" w:space="0" w:color="auto"/>
              <w:right w:val="nil"/>
            </w:tcBorders>
            <w:shd w:val="clear" w:color="000000" w:fill="132577"/>
            <w:noWrap/>
            <w:vAlign w:val="center"/>
            <w:hideMark/>
          </w:tcPr>
          <w:p w14:paraId="7B639FB8" w14:textId="77777777" w:rsidR="00846952" w:rsidRPr="00B408D4" w:rsidRDefault="00846952" w:rsidP="00821801">
            <w:pPr>
              <w:keepNext/>
              <w:jc w:val="center"/>
              <w:rPr>
                <w:rFonts w:cs="Calibri"/>
                <w:b/>
                <w:bCs/>
                <w:color w:val="FFFFFF"/>
                <w:sz w:val="20"/>
                <w:szCs w:val="20"/>
              </w:rPr>
            </w:pPr>
            <w:r w:rsidRPr="00B408D4">
              <w:rPr>
                <w:rFonts w:cs="Calibri"/>
                <w:b/>
                <w:bCs/>
                <w:color w:val="FFFFFF"/>
                <w:sz w:val="20"/>
                <w:szCs w:val="20"/>
              </w:rPr>
              <w:t>Result</w:t>
            </w:r>
          </w:p>
        </w:tc>
        <w:tc>
          <w:tcPr>
            <w:tcW w:w="1872" w:type="dxa"/>
            <w:vMerge w:val="restart"/>
            <w:tcBorders>
              <w:top w:val="single" w:sz="4" w:space="0" w:color="auto"/>
              <w:left w:val="single" w:sz="4" w:space="0" w:color="FFFFFF"/>
              <w:bottom w:val="single" w:sz="4" w:space="0" w:color="auto"/>
              <w:right w:val="single" w:sz="4" w:space="0" w:color="FFFFFF"/>
            </w:tcBorders>
            <w:shd w:val="clear" w:color="000000" w:fill="132577"/>
            <w:vAlign w:val="center"/>
            <w:hideMark/>
          </w:tcPr>
          <w:p w14:paraId="37F342A4" w14:textId="247CD2AB" w:rsidR="00846952" w:rsidRPr="00B408D4" w:rsidRDefault="00846952" w:rsidP="00821801">
            <w:pPr>
              <w:keepNext/>
              <w:jc w:val="center"/>
              <w:rPr>
                <w:rFonts w:cs="Calibri"/>
                <w:b/>
                <w:bCs/>
                <w:i/>
                <w:iCs/>
                <w:color w:val="FFFFFF"/>
                <w:sz w:val="20"/>
                <w:szCs w:val="20"/>
              </w:rPr>
            </w:pPr>
            <w:r w:rsidRPr="00B408D4">
              <w:rPr>
                <w:rFonts w:cs="Calibri"/>
                <w:b/>
                <w:bCs/>
                <w:i/>
                <w:iCs/>
                <w:color w:val="FFFFFF"/>
                <w:sz w:val="20"/>
                <w:szCs w:val="20"/>
              </w:rPr>
              <w:t>Ex-ante for 201</w:t>
            </w:r>
            <w:r w:rsidR="00850236">
              <w:rPr>
                <w:rFonts w:cs="Calibri"/>
                <w:b/>
                <w:bCs/>
                <w:i/>
                <w:iCs/>
                <w:color w:val="FFFFFF"/>
                <w:sz w:val="20"/>
                <w:szCs w:val="20"/>
              </w:rPr>
              <w:t>7</w:t>
            </w:r>
            <w:r w:rsidRPr="00B408D4">
              <w:rPr>
                <w:rFonts w:cs="Calibri"/>
                <w:b/>
                <w:bCs/>
                <w:i/>
                <w:iCs/>
                <w:color w:val="FFFFFF"/>
                <w:sz w:val="20"/>
                <w:szCs w:val="20"/>
              </w:rPr>
              <w:t xml:space="preserve"> System Peak Day from PY2016 Study</w:t>
            </w:r>
          </w:p>
        </w:tc>
        <w:tc>
          <w:tcPr>
            <w:tcW w:w="1872" w:type="dxa"/>
            <w:vMerge w:val="restart"/>
            <w:tcBorders>
              <w:top w:val="single" w:sz="4" w:space="0" w:color="auto"/>
              <w:left w:val="single" w:sz="4" w:space="0" w:color="FFFFFF"/>
              <w:bottom w:val="single" w:sz="4" w:space="0" w:color="auto"/>
              <w:right w:val="single" w:sz="4" w:space="0" w:color="auto"/>
            </w:tcBorders>
            <w:shd w:val="clear" w:color="000000" w:fill="132577"/>
            <w:vAlign w:val="center"/>
            <w:hideMark/>
          </w:tcPr>
          <w:p w14:paraId="0A505D88" w14:textId="25EDD602" w:rsidR="00846952" w:rsidRPr="00B408D4" w:rsidRDefault="00846952" w:rsidP="00821801">
            <w:pPr>
              <w:keepNext/>
              <w:jc w:val="center"/>
              <w:rPr>
                <w:rFonts w:cs="Calibri"/>
                <w:b/>
                <w:bCs/>
                <w:i/>
                <w:iCs/>
                <w:color w:val="FFFFFF"/>
                <w:sz w:val="20"/>
                <w:szCs w:val="20"/>
              </w:rPr>
            </w:pPr>
            <w:r>
              <w:rPr>
                <w:rFonts w:cs="Calibri"/>
                <w:b/>
                <w:bCs/>
                <w:i/>
                <w:iCs/>
                <w:color w:val="FFFFFF"/>
                <w:sz w:val="20"/>
                <w:szCs w:val="20"/>
              </w:rPr>
              <w:t>Ex-post for 20</w:t>
            </w:r>
            <w:r w:rsidR="00850236">
              <w:rPr>
                <w:rFonts w:cs="Calibri"/>
                <w:b/>
                <w:bCs/>
                <w:i/>
                <w:iCs/>
                <w:color w:val="FFFFFF"/>
                <w:sz w:val="20"/>
                <w:szCs w:val="20"/>
              </w:rPr>
              <w:t>17</w:t>
            </w:r>
            <w:r w:rsidRPr="00B408D4">
              <w:rPr>
                <w:rFonts w:cs="Calibri"/>
                <w:b/>
                <w:bCs/>
                <w:i/>
                <w:iCs/>
                <w:color w:val="FFFFFF"/>
                <w:sz w:val="20"/>
                <w:szCs w:val="20"/>
              </w:rPr>
              <w:t xml:space="preserve"> </w:t>
            </w:r>
            <w:r w:rsidR="0026102E">
              <w:rPr>
                <w:rFonts w:cs="Calibri"/>
                <w:b/>
                <w:bCs/>
                <w:i/>
                <w:iCs/>
                <w:color w:val="FFFFFF"/>
                <w:sz w:val="20"/>
                <w:szCs w:val="20"/>
              </w:rPr>
              <w:t>Weekday Event</w:t>
            </w:r>
            <w:r w:rsidR="00850236">
              <w:rPr>
                <w:rFonts w:cs="Calibri"/>
                <w:b/>
                <w:bCs/>
                <w:i/>
                <w:iCs/>
                <w:color w:val="FFFFFF"/>
                <w:sz w:val="20"/>
                <w:szCs w:val="20"/>
              </w:rPr>
              <w:br/>
            </w:r>
            <w:r w:rsidRPr="00B408D4">
              <w:rPr>
                <w:rFonts w:cs="Calibri"/>
                <w:b/>
                <w:bCs/>
                <w:i/>
                <w:iCs/>
                <w:color w:val="FFFFFF"/>
                <w:sz w:val="20"/>
                <w:szCs w:val="20"/>
              </w:rPr>
              <w:t xml:space="preserve"> from PY2017 Study</w:t>
            </w:r>
          </w:p>
        </w:tc>
      </w:tr>
      <w:tr w:rsidR="00846952" w:rsidRPr="00B408D4" w14:paraId="16BDC76A" w14:textId="77777777" w:rsidTr="00821801">
        <w:trPr>
          <w:trHeight w:val="293"/>
          <w:jc w:val="center"/>
        </w:trPr>
        <w:tc>
          <w:tcPr>
            <w:tcW w:w="3180" w:type="dxa"/>
            <w:vMerge/>
            <w:tcBorders>
              <w:top w:val="single" w:sz="4" w:space="0" w:color="auto"/>
              <w:left w:val="single" w:sz="4" w:space="0" w:color="auto"/>
              <w:bottom w:val="single" w:sz="4" w:space="0" w:color="auto"/>
              <w:right w:val="nil"/>
            </w:tcBorders>
            <w:vAlign w:val="center"/>
            <w:hideMark/>
          </w:tcPr>
          <w:p w14:paraId="2ED62552" w14:textId="77777777" w:rsidR="00846952" w:rsidRPr="00B408D4" w:rsidRDefault="00846952" w:rsidP="00821801">
            <w:pPr>
              <w:keepNext/>
              <w:rPr>
                <w:rFonts w:cs="Calibri"/>
                <w:b/>
                <w:bCs/>
                <w:color w:val="FFFFFF"/>
                <w:sz w:val="20"/>
                <w:szCs w:val="20"/>
              </w:rPr>
            </w:pPr>
          </w:p>
        </w:tc>
        <w:tc>
          <w:tcPr>
            <w:tcW w:w="1872" w:type="dxa"/>
            <w:vMerge/>
            <w:tcBorders>
              <w:top w:val="single" w:sz="4" w:space="0" w:color="auto"/>
              <w:left w:val="single" w:sz="4" w:space="0" w:color="FFFFFF"/>
              <w:bottom w:val="single" w:sz="4" w:space="0" w:color="auto"/>
              <w:right w:val="single" w:sz="4" w:space="0" w:color="FFFFFF"/>
            </w:tcBorders>
            <w:vAlign w:val="center"/>
            <w:hideMark/>
          </w:tcPr>
          <w:p w14:paraId="68627DEC" w14:textId="77777777" w:rsidR="00846952" w:rsidRPr="00B408D4" w:rsidRDefault="00846952" w:rsidP="00821801">
            <w:pPr>
              <w:keepNext/>
              <w:rPr>
                <w:rFonts w:cs="Calibri"/>
                <w:b/>
                <w:bCs/>
                <w:i/>
                <w:iCs/>
                <w:color w:val="FFFFFF"/>
                <w:sz w:val="20"/>
                <w:szCs w:val="20"/>
              </w:rPr>
            </w:pPr>
          </w:p>
        </w:tc>
        <w:tc>
          <w:tcPr>
            <w:tcW w:w="1872" w:type="dxa"/>
            <w:vMerge/>
            <w:tcBorders>
              <w:top w:val="single" w:sz="4" w:space="0" w:color="auto"/>
              <w:left w:val="single" w:sz="4" w:space="0" w:color="FFFFFF"/>
              <w:bottom w:val="single" w:sz="4" w:space="0" w:color="auto"/>
              <w:right w:val="single" w:sz="4" w:space="0" w:color="auto"/>
            </w:tcBorders>
            <w:vAlign w:val="center"/>
            <w:hideMark/>
          </w:tcPr>
          <w:p w14:paraId="2585BD59" w14:textId="77777777" w:rsidR="00846952" w:rsidRPr="00B408D4" w:rsidRDefault="00846952" w:rsidP="00821801">
            <w:pPr>
              <w:keepNext/>
              <w:rPr>
                <w:rFonts w:cs="Calibri"/>
                <w:b/>
                <w:bCs/>
                <w:i/>
                <w:iCs/>
                <w:color w:val="FFFFFF"/>
                <w:sz w:val="20"/>
                <w:szCs w:val="20"/>
              </w:rPr>
            </w:pPr>
          </w:p>
        </w:tc>
      </w:tr>
      <w:tr w:rsidR="00850236" w:rsidRPr="00B408D4" w14:paraId="4C4BED2B" w14:textId="77777777" w:rsidTr="00821801">
        <w:trPr>
          <w:trHeight w:val="144"/>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0997FD4F" w14:textId="77777777" w:rsidR="00850236" w:rsidRPr="00B408D4" w:rsidRDefault="00850236" w:rsidP="00850236">
            <w:pPr>
              <w:keepNext/>
              <w:rPr>
                <w:rFonts w:cs="Calibri"/>
                <w:color w:val="000000"/>
                <w:sz w:val="20"/>
                <w:szCs w:val="20"/>
              </w:rPr>
            </w:pPr>
            <w:r w:rsidRPr="00B408D4">
              <w:rPr>
                <w:rFonts w:cs="Calibri"/>
                <w:color w:val="000000"/>
                <w:sz w:val="20"/>
                <w:szCs w:val="20"/>
              </w:rPr>
              <w:t># Enrolled</w:t>
            </w:r>
          </w:p>
        </w:tc>
        <w:tc>
          <w:tcPr>
            <w:tcW w:w="1872" w:type="dxa"/>
            <w:tcBorders>
              <w:top w:val="nil"/>
              <w:left w:val="nil"/>
              <w:bottom w:val="single" w:sz="4" w:space="0" w:color="auto"/>
              <w:right w:val="single" w:sz="4" w:space="0" w:color="auto"/>
            </w:tcBorders>
            <w:shd w:val="clear" w:color="auto" w:fill="auto"/>
            <w:noWrap/>
            <w:vAlign w:val="center"/>
            <w:hideMark/>
          </w:tcPr>
          <w:p w14:paraId="26DD8456" w14:textId="04F46901" w:rsidR="00850236" w:rsidRPr="00B408D4" w:rsidRDefault="00850236" w:rsidP="00850236">
            <w:pPr>
              <w:keepNext/>
              <w:jc w:val="center"/>
              <w:rPr>
                <w:rFonts w:cs="Calibri"/>
                <w:color w:val="000000"/>
                <w:sz w:val="20"/>
                <w:szCs w:val="20"/>
              </w:rPr>
            </w:pPr>
            <w:r>
              <w:rPr>
                <w:rFonts w:cs="Calibri"/>
                <w:color w:val="000000"/>
                <w:sz w:val="20"/>
                <w:szCs w:val="20"/>
              </w:rPr>
              <w:t>3,656</w:t>
            </w:r>
          </w:p>
        </w:tc>
        <w:tc>
          <w:tcPr>
            <w:tcW w:w="1872" w:type="dxa"/>
            <w:tcBorders>
              <w:top w:val="nil"/>
              <w:left w:val="nil"/>
              <w:bottom w:val="single" w:sz="4" w:space="0" w:color="auto"/>
              <w:right w:val="single" w:sz="4" w:space="0" w:color="auto"/>
            </w:tcBorders>
            <w:shd w:val="clear" w:color="auto" w:fill="auto"/>
            <w:noWrap/>
            <w:vAlign w:val="center"/>
            <w:hideMark/>
          </w:tcPr>
          <w:p w14:paraId="1B2A9968" w14:textId="0134A9E8" w:rsidR="00850236" w:rsidRPr="00B408D4" w:rsidRDefault="00850236" w:rsidP="00850236">
            <w:pPr>
              <w:keepNext/>
              <w:jc w:val="center"/>
              <w:rPr>
                <w:rFonts w:cs="Calibri"/>
                <w:color w:val="000000"/>
                <w:sz w:val="20"/>
                <w:szCs w:val="20"/>
              </w:rPr>
            </w:pPr>
            <w:r>
              <w:rPr>
                <w:rFonts w:cs="Calibri"/>
                <w:color w:val="000000"/>
                <w:sz w:val="20"/>
                <w:szCs w:val="20"/>
              </w:rPr>
              <w:t>4,935</w:t>
            </w:r>
          </w:p>
        </w:tc>
      </w:tr>
      <w:tr w:rsidR="00850236" w:rsidRPr="00B408D4" w14:paraId="30F8BB03" w14:textId="77777777" w:rsidTr="00821801">
        <w:trPr>
          <w:trHeight w:val="144"/>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17D661EA" w14:textId="77777777" w:rsidR="00850236" w:rsidRPr="00B408D4" w:rsidRDefault="00850236" w:rsidP="00850236">
            <w:pPr>
              <w:keepNext/>
              <w:rPr>
                <w:rFonts w:cs="Calibri"/>
                <w:color w:val="000000"/>
                <w:sz w:val="20"/>
                <w:szCs w:val="20"/>
              </w:rPr>
            </w:pPr>
            <w:r w:rsidRPr="00B408D4">
              <w:rPr>
                <w:rFonts w:cs="Calibri"/>
                <w:color w:val="000000"/>
                <w:sz w:val="20"/>
                <w:szCs w:val="20"/>
              </w:rPr>
              <w:t>Reference (MWh/h)</w:t>
            </w:r>
          </w:p>
        </w:tc>
        <w:tc>
          <w:tcPr>
            <w:tcW w:w="1872" w:type="dxa"/>
            <w:tcBorders>
              <w:top w:val="nil"/>
              <w:left w:val="nil"/>
              <w:bottom w:val="single" w:sz="4" w:space="0" w:color="auto"/>
              <w:right w:val="single" w:sz="4" w:space="0" w:color="auto"/>
            </w:tcBorders>
            <w:shd w:val="clear" w:color="auto" w:fill="auto"/>
            <w:noWrap/>
            <w:vAlign w:val="center"/>
            <w:hideMark/>
          </w:tcPr>
          <w:p w14:paraId="167718F0" w14:textId="6F63E4D7" w:rsidR="00850236" w:rsidRPr="00B408D4" w:rsidRDefault="00850236" w:rsidP="00850236">
            <w:pPr>
              <w:keepNext/>
              <w:jc w:val="center"/>
              <w:rPr>
                <w:rFonts w:cs="Calibri"/>
                <w:color w:val="000000"/>
                <w:sz w:val="20"/>
                <w:szCs w:val="20"/>
              </w:rPr>
            </w:pPr>
            <w:r>
              <w:rPr>
                <w:rFonts w:cs="Calibri"/>
                <w:color w:val="000000"/>
                <w:sz w:val="20"/>
                <w:szCs w:val="20"/>
              </w:rPr>
              <w:t>4.03</w:t>
            </w:r>
          </w:p>
        </w:tc>
        <w:tc>
          <w:tcPr>
            <w:tcW w:w="1872" w:type="dxa"/>
            <w:tcBorders>
              <w:top w:val="nil"/>
              <w:left w:val="nil"/>
              <w:bottom w:val="single" w:sz="4" w:space="0" w:color="auto"/>
              <w:right w:val="single" w:sz="4" w:space="0" w:color="auto"/>
            </w:tcBorders>
            <w:shd w:val="clear" w:color="auto" w:fill="auto"/>
            <w:noWrap/>
            <w:vAlign w:val="center"/>
            <w:hideMark/>
          </w:tcPr>
          <w:p w14:paraId="72047B3D" w14:textId="7E92C74E" w:rsidR="00850236" w:rsidRPr="00B408D4" w:rsidRDefault="00850236" w:rsidP="00850236">
            <w:pPr>
              <w:keepNext/>
              <w:jc w:val="center"/>
              <w:rPr>
                <w:rFonts w:cs="Calibri"/>
                <w:color w:val="000000"/>
                <w:sz w:val="20"/>
                <w:szCs w:val="20"/>
              </w:rPr>
            </w:pPr>
            <w:r>
              <w:rPr>
                <w:rFonts w:cs="Calibri"/>
                <w:color w:val="000000"/>
                <w:sz w:val="20"/>
                <w:szCs w:val="20"/>
              </w:rPr>
              <w:t>6.76</w:t>
            </w:r>
          </w:p>
        </w:tc>
      </w:tr>
      <w:tr w:rsidR="00850236" w:rsidRPr="00B408D4" w14:paraId="270A7E1C" w14:textId="77777777" w:rsidTr="00821801">
        <w:trPr>
          <w:trHeight w:val="144"/>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512B32A3" w14:textId="77777777" w:rsidR="00850236" w:rsidRPr="00B408D4" w:rsidRDefault="00850236" w:rsidP="00850236">
            <w:pPr>
              <w:keepNext/>
              <w:rPr>
                <w:rFonts w:cs="Calibri"/>
                <w:color w:val="000000"/>
                <w:sz w:val="20"/>
                <w:szCs w:val="20"/>
              </w:rPr>
            </w:pPr>
            <w:r w:rsidRPr="00B408D4">
              <w:rPr>
                <w:rFonts w:cs="Calibri"/>
                <w:color w:val="000000"/>
                <w:sz w:val="20"/>
                <w:szCs w:val="20"/>
              </w:rPr>
              <w:t>Load Impact (MWh/h)</w:t>
            </w:r>
          </w:p>
        </w:tc>
        <w:tc>
          <w:tcPr>
            <w:tcW w:w="1872" w:type="dxa"/>
            <w:tcBorders>
              <w:top w:val="nil"/>
              <w:left w:val="nil"/>
              <w:bottom w:val="single" w:sz="4" w:space="0" w:color="auto"/>
              <w:right w:val="single" w:sz="4" w:space="0" w:color="auto"/>
            </w:tcBorders>
            <w:shd w:val="clear" w:color="auto" w:fill="auto"/>
            <w:noWrap/>
            <w:vAlign w:val="center"/>
            <w:hideMark/>
          </w:tcPr>
          <w:p w14:paraId="01427B2C" w14:textId="55CFBE87" w:rsidR="00850236" w:rsidRPr="00B408D4" w:rsidRDefault="00850236" w:rsidP="00850236">
            <w:pPr>
              <w:keepNext/>
              <w:jc w:val="center"/>
              <w:rPr>
                <w:rFonts w:cs="Calibri"/>
                <w:color w:val="000000"/>
                <w:sz w:val="20"/>
                <w:szCs w:val="20"/>
              </w:rPr>
            </w:pPr>
            <w:r>
              <w:rPr>
                <w:rFonts w:cs="Calibri"/>
                <w:color w:val="000000"/>
                <w:sz w:val="20"/>
                <w:szCs w:val="20"/>
              </w:rPr>
              <w:t>0.49</w:t>
            </w:r>
          </w:p>
        </w:tc>
        <w:tc>
          <w:tcPr>
            <w:tcW w:w="1872" w:type="dxa"/>
            <w:tcBorders>
              <w:top w:val="nil"/>
              <w:left w:val="nil"/>
              <w:bottom w:val="single" w:sz="4" w:space="0" w:color="auto"/>
              <w:right w:val="single" w:sz="4" w:space="0" w:color="auto"/>
            </w:tcBorders>
            <w:shd w:val="clear" w:color="auto" w:fill="auto"/>
            <w:noWrap/>
            <w:vAlign w:val="center"/>
            <w:hideMark/>
          </w:tcPr>
          <w:p w14:paraId="6E7C064C" w14:textId="64A092D4" w:rsidR="00850236" w:rsidRPr="00B408D4" w:rsidRDefault="00850236" w:rsidP="00850236">
            <w:pPr>
              <w:keepNext/>
              <w:jc w:val="center"/>
              <w:rPr>
                <w:rFonts w:cs="Calibri"/>
                <w:color w:val="000000"/>
                <w:sz w:val="20"/>
                <w:szCs w:val="20"/>
              </w:rPr>
            </w:pPr>
            <w:r>
              <w:rPr>
                <w:rFonts w:cs="Calibri"/>
                <w:color w:val="000000"/>
                <w:sz w:val="20"/>
                <w:szCs w:val="20"/>
              </w:rPr>
              <w:t>0.90</w:t>
            </w:r>
          </w:p>
        </w:tc>
      </w:tr>
      <w:tr w:rsidR="00850236" w:rsidRPr="00B408D4" w14:paraId="0F4B06B2" w14:textId="77777777" w:rsidTr="00821801">
        <w:trPr>
          <w:trHeight w:val="144"/>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5894B7C9" w14:textId="77777777" w:rsidR="00850236" w:rsidRPr="00B408D4" w:rsidRDefault="00850236" w:rsidP="00850236">
            <w:pPr>
              <w:keepNext/>
              <w:rPr>
                <w:rFonts w:cs="Calibri"/>
                <w:color w:val="000000"/>
                <w:sz w:val="20"/>
                <w:szCs w:val="20"/>
              </w:rPr>
            </w:pPr>
            <w:r w:rsidRPr="00B408D4">
              <w:rPr>
                <w:rFonts w:cs="Calibri"/>
                <w:color w:val="000000"/>
                <w:sz w:val="20"/>
                <w:szCs w:val="20"/>
              </w:rPr>
              <w:t>Per-customer reference (kWh/h)</w:t>
            </w:r>
          </w:p>
        </w:tc>
        <w:tc>
          <w:tcPr>
            <w:tcW w:w="1872" w:type="dxa"/>
            <w:tcBorders>
              <w:top w:val="nil"/>
              <w:left w:val="nil"/>
              <w:bottom w:val="single" w:sz="4" w:space="0" w:color="auto"/>
              <w:right w:val="single" w:sz="4" w:space="0" w:color="auto"/>
            </w:tcBorders>
            <w:shd w:val="clear" w:color="auto" w:fill="auto"/>
            <w:noWrap/>
            <w:vAlign w:val="center"/>
            <w:hideMark/>
          </w:tcPr>
          <w:p w14:paraId="5C5B7C06" w14:textId="15AB0B9F" w:rsidR="00850236" w:rsidRPr="00B408D4" w:rsidRDefault="00850236" w:rsidP="00850236">
            <w:pPr>
              <w:keepNext/>
              <w:jc w:val="center"/>
              <w:rPr>
                <w:rFonts w:cs="Calibri"/>
                <w:color w:val="000000"/>
                <w:sz w:val="20"/>
                <w:szCs w:val="20"/>
              </w:rPr>
            </w:pPr>
            <w:r>
              <w:rPr>
                <w:rFonts w:cs="Calibri"/>
                <w:color w:val="000000"/>
                <w:sz w:val="20"/>
                <w:szCs w:val="20"/>
              </w:rPr>
              <w:t>1.10</w:t>
            </w:r>
          </w:p>
        </w:tc>
        <w:tc>
          <w:tcPr>
            <w:tcW w:w="1872" w:type="dxa"/>
            <w:tcBorders>
              <w:top w:val="nil"/>
              <w:left w:val="nil"/>
              <w:bottom w:val="single" w:sz="4" w:space="0" w:color="auto"/>
              <w:right w:val="single" w:sz="4" w:space="0" w:color="auto"/>
            </w:tcBorders>
            <w:shd w:val="clear" w:color="auto" w:fill="auto"/>
            <w:noWrap/>
            <w:vAlign w:val="center"/>
            <w:hideMark/>
          </w:tcPr>
          <w:p w14:paraId="3CB1E27F" w14:textId="649B8F23" w:rsidR="00850236" w:rsidRPr="00B408D4" w:rsidRDefault="00850236" w:rsidP="00850236">
            <w:pPr>
              <w:keepNext/>
              <w:jc w:val="center"/>
              <w:rPr>
                <w:rFonts w:cs="Calibri"/>
                <w:color w:val="000000"/>
                <w:sz w:val="20"/>
                <w:szCs w:val="20"/>
              </w:rPr>
            </w:pPr>
            <w:r>
              <w:rPr>
                <w:rFonts w:cs="Calibri"/>
                <w:color w:val="000000"/>
                <w:sz w:val="20"/>
                <w:szCs w:val="20"/>
              </w:rPr>
              <w:t>1.37</w:t>
            </w:r>
          </w:p>
        </w:tc>
      </w:tr>
      <w:tr w:rsidR="00850236" w:rsidRPr="00B408D4" w14:paraId="6805E990" w14:textId="77777777" w:rsidTr="00821801">
        <w:trPr>
          <w:trHeight w:val="144"/>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4C4C8500" w14:textId="77777777" w:rsidR="00850236" w:rsidRPr="00B408D4" w:rsidRDefault="00850236" w:rsidP="00850236">
            <w:pPr>
              <w:keepNext/>
              <w:rPr>
                <w:rFonts w:cs="Calibri"/>
                <w:color w:val="000000"/>
                <w:sz w:val="20"/>
                <w:szCs w:val="20"/>
              </w:rPr>
            </w:pPr>
            <w:r w:rsidRPr="00B408D4">
              <w:rPr>
                <w:rFonts w:cs="Calibri"/>
                <w:color w:val="000000"/>
                <w:sz w:val="20"/>
                <w:szCs w:val="20"/>
              </w:rPr>
              <w:t>Per-customer load impact (kWh/h)</w:t>
            </w:r>
          </w:p>
        </w:tc>
        <w:tc>
          <w:tcPr>
            <w:tcW w:w="1872" w:type="dxa"/>
            <w:tcBorders>
              <w:top w:val="nil"/>
              <w:left w:val="nil"/>
              <w:bottom w:val="single" w:sz="4" w:space="0" w:color="auto"/>
              <w:right w:val="single" w:sz="4" w:space="0" w:color="auto"/>
            </w:tcBorders>
            <w:shd w:val="clear" w:color="auto" w:fill="auto"/>
            <w:noWrap/>
            <w:vAlign w:val="center"/>
            <w:hideMark/>
          </w:tcPr>
          <w:p w14:paraId="2E971C87" w14:textId="2C95A33C" w:rsidR="00850236" w:rsidRPr="00B408D4" w:rsidRDefault="00850236" w:rsidP="00850236">
            <w:pPr>
              <w:keepNext/>
              <w:jc w:val="center"/>
              <w:rPr>
                <w:rFonts w:cs="Calibri"/>
                <w:color w:val="000000"/>
                <w:sz w:val="20"/>
                <w:szCs w:val="20"/>
              </w:rPr>
            </w:pPr>
            <w:r>
              <w:rPr>
                <w:rFonts w:cs="Calibri"/>
                <w:color w:val="000000"/>
                <w:sz w:val="20"/>
                <w:szCs w:val="20"/>
              </w:rPr>
              <w:t>0.14</w:t>
            </w:r>
          </w:p>
        </w:tc>
        <w:tc>
          <w:tcPr>
            <w:tcW w:w="1872" w:type="dxa"/>
            <w:tcBorders>
              <w:top w:val="nil"/>
              <w:left w:val="nil"/>
              <w:bottom w:val="single" w:sz="4" w:space="0" w:color="auto"/>
              <w:right w:val="single" w:sz="4" w:space="0" w:color="auto"/>
            </w:tcBorders>
            <w:shd w:val="clear" w:color="auto" w:fill="auto"/>
            <w:noWrap/>
            <w:vAlign w:val="center"/>
            <w:hideMark/>
          </w:tcPr>
          <w:p w14:paraId="762E447A" w14:textId="4781D882" w:rsidR="00850236" w:rsidRPr="00B408D4" w:rsidRDefault="00850236" w:rsidP="00850236">
            <w:pPr>
              <w:keepNext/>
              <w:jc w:val="center"/>
              <w:rPr>
                <w:rFonts w:cs="Calibri"/>
                <w:color w:val="000000"/>
                <w:sz w:val="20"/>
                <w:szCs w:val="20"/>
              </w:rPr>
            </w:pPr>
            <w:r>
              <w:rPr>
                <w:rFonts w:cs="Calibri"/>
                <w:color w:val="000000"/>
                <w:sz w:val="20"/>
                <w:szCs w:val="20"/>
              </w:rPr>
              <w:t>0.18</w:t>
            </w:r>
          </w:p>
        </w:tc>
      </w:tr>
      <w:tr w:rsidR="00850236" w:rsidRPr="00B408D4" w14:paraId="53352A38" w14:textId="77777777" w:rsidTr="00821801">
        <w:trPr>
          <w:trHeight w:val="144"/>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45DE3339" w14:textId="77777777" w:rsidR="00850236" w:rsidRPr="00B408D4" w:rsidRDefault="00850236" w:rsidP="00850236">
            <w:pPr>
              <w:keepNext/>
              <w:rPr>
                <w:rFonts w:cs="Calibri"/>
                <w:color w:val="000000"/>
                <w:sz w:val="20"/>
                <w:szCs w:val="20"/>
              </w:rPr>
            </w:pPr>
            <w:r w:rsidRPr="00B408D4">
              <w:rPr>
                <w:rFonts w:cs="Calibri"/>
                <w:color w:val="000000"/>
                <w:sz w:val="20"/>
                <w:szCs w:val="20"/>
              </w:rPr>
              <w:t>% Load Impact</w:t>
            </w:r>
          </w:p>
        </w:tc>
        <w:tc>
          <w:tcPr>
            <w:tcW w:w="1872" w:type="dxa"/>
            <w:tcBorders>
              <w:top w:val="nil"/>
              <w:left w:val="nil"/>
              <w:bottom w:val="single" w:sz="4" w:space="0" w:color="auto"/>
              <w:right w:val="single" w:sz="4" w:space="0" w:color="auto"/>
            </w:tcBorders>
            <w:shd w:val="clear" w:color="auto" w:fill="auto"/>
            <w:noWrap/>
            <w:vAlign w:val="center"/>
            <w:hideMark/>
          </w:tcPr>
          <w:p w14:paraId="785FD97C" w14:textId="6BD1171B" w:rsidR="00850236" w:rsidRPr="00B408D4" w:rsidRDefault="00850236" w:rsidP="00850236">
            <w:pPr>
              <w:keepNext/>
              <w:jc w:val="center"/>
              <w:rPr>
                <w:rFonts w:cs="Calibri"/>
                <w:color w:val="000000"/>
                <w:sz w:val="20"/>
                <w:szCs w:val="20"/>
              </w:rPr>
            </w:pPr>
            <w:r>
              <w:rPr>
                <w:rFonts w:cs="Calibri"/>
                <w:color w:val="000000"/>
                <w:sz w:val="20"/>
                <w:szCs w:val="20"/>
              </w:rPr>
              <w:t>12.28%</w:t>
            </w:r>
          </w:p>
        </w:tc>
        <w:tc>
          <w:tcPr>
            <w:tcW w:w="1872" w:type="dxa"/>
            <w:tcBorders>
              <w:top w:val="nil"/>
              <w:left w:val="nil"/>
              <w:bottom w:val="single" w:sz="4" w:space="0" w:color="auto"/>
              <w:right w:val="single" w:sz="4" w:space="0" w:color="auto"/>
            </w:tcBorders>
            <w:shd w:val="clear" w:color="auto" w:fill="auto"/>
            <w:noWrap/>
            <w:vAlign w:val="center"/>
            <w:hideMark/>
          </w:tcPr>
          <w:p w14:paraId="10276AB4" w14:textId="2197E49B" w:rsidR="00850236" w:rsidRPr="00B408D4" w:rsidRDefault="00850236" w:rsidP="00850236">
            <w:pPr>
              <w:keepNext/>
              <w:jc w:val="center"/>
              <w:rPr>
                <w:rFonts w:cs="Calibri"/>
                <w:color w:val="000000"/>
                <w:sz w:val="20"/>
                <w:szCs w:val="20"/>
              </w:rPr>
            </w:pPr>
            <w:r>
              <w:rPr>
                <w:rFonts w:cs="Calibri"/>
                <w:color w:val="000000"/>
                <w:sz w:val="20"/>
                <w:szCs w:val="20"/>
              </w:rPr>
              <w:t>13.38%</w:t>
            </w:r>
          </w:p>
        </w:tc>
      </w:tr>
      <w:tr w:rsidR="00850236" w:rsidRPr="00B408D4" w14:paraId="7466BB0F" w14:textId="77777777" w:rsidTr="00821801">
        <w:trPr>
          <w:trHeight w:val="144"/>
          <w:jc w:val="center"/>
        </w:trPr>
        <w:tc>
          <w:tcPr>
            <w:tcW w:w="3180" w:type="dxa"/>
            <w:tcBorders>
              <w:top w:val="nil"/>
              <w:left w:val="single" w:sz="4" w:space="0" w:color="auto"/>
              <w:bottom w:val="single" w:sz="4" w:space="0" w:color="auto"/>
              <w:right w:val="single" w:sz="4" w:space="0" w:color="auto"/>
            </w:tcBorders>
            <w:shd w:val="clear" w:color="auto" w:fill="auto"/>
            <w:noWrap/>
            <w:vAlign w:val="center"/>
            <w:hideMark/>
          </w:tcPr>
          <w:p w14:paraId="39A19457" w14:textId="77777777" w:rsidR="00850236" w:rsidRPr="00B408D4" w:rsidRDefault="00850236" w:rsidP="00850236">
            <w:pPr>
              <w:keepNext/>
              <w:rPr>
                <w:rFonts w:cs="Calibri"/>
                <w:color w:val="000000"/>
                <w:sz w:val="20"/>
                <w:szCs w:val="20"/>
              </w:rPr>
            </w:pPr>
            <w:r w:rsidRPr="00B408D4">
              <w:rPr>
                <w:rFonts w:cs="Calibri"/>
                <w:color w:val="000000"/>
                <w:sz w:val="20"/>
                <w:szCs w:val="20"/>
              </w:rPr>
              <w:t>Temperature</w:t>
            </w:r>
          </w:p>
        </w:tc>
        <w:tc>
          <w:tcPr>
            <w:tcW w:w="1872" w:type="dxa"/>
            <w:tcBorders>
              <w:top w:val="nil"/>
              <w:left w:val="nil"/>
              <w:bottom w:val="single" w:sz="4" w:space="0" w:color="auto"/>
              <w:right w:val="single" w:sz="4" w:space="0" w:color="auto"/>
            </w:tcBorders>
            <w:shd w:val="clear" w:color="auto" w:fill="auto"/>
            <w:noWrap/>
            <w:vAlign w:val="center"/>
            <w:hideMark/>
          </w:tcPr>
          <w:p w14:paraId="06C499F6" w14:textId="6BF92DD1" w:rsidR="00850236" w:rsidRPr="00B408D4" w:rsidRDefault="00850236" w:rsidP="00850236">
            <w:pPr>
              <w:keepNext/>
              <w:jc w:val="center"/>
              <w:rPr>
                <w:rFonts w:cs="Calibri"/>
                <w:color w:val="000000"/>
                <w:sz w:val="20"/>
                <w:szCs w:val="20"/>
              </w:rPr>
            </w:pPr>
            <w:r>
              <w:rPr>
                <w:rFonts w:cs="Calibri"/>
                <w:color w:val="000000"/>
                <w:sz w:val="20"/>
                <w:szCs w:val="20"/>
              </w:rPr>
              <w:t>85.3</w:t>
            </w:r>
          </w:p>
        </w:tc>
        <w:tc>
          <w:tcPr>
            <w:tcW w:w="1872" w:type="dxa"/>
            <w:tcBorders>
              <w:top w:val="nil"/>
              <w:left w:val="nil"/>
              <w:bottom w:val="single" w:sz="4" w:space="0" w:color="auto"/>
              <w:right w:val="single" w:sz="4" w:space="0" w:color="auto"/>
            </w:tcBorders>
            <w:shd w:val="clear" w:color="auto" w:fill="auto"/>
            <w:noWrap/>
            <w:vAlign w:val="center"/>
            <w:hideMark/>
          </w:tcPr>
          <w:p w14:paraId="3F53295D" w14:textId="5EC1BC52" w:rsidR="00850236" w:rsidRPr="00B408D4" w:rsidRDefault="00850236" w:rsidP="00850236">
            <w:pPr>
              <w:keepNext/>
              <w:jc w:val="center"/>
              <w:rPr>
                <w:rFonts w:cs="Calibri"/>
                <w:color w:val="000000"/>
                <w:sz w:val="20"/>
                <w:szCs w:val="20"/>
              </w:rPr>
            </w:pPr>
            <w:r>
              <w:rPr>
                <w:rFonts w:cs="Calibri"/>
                <w:color w:val="000000"/>
                <w:sz w:val="20"/>
                <w:szCs w:val="20"/>
              </w:rPr>
              <w:t>91.6</w:t>
            </w:r>
          </w:p>
        </w:tc>
      </w:tr>
    </w:tbl>
    <w:p w14:paraId="28B9A3FA" w14:textId="77777777" w:rsidR="00846952" w:rsidRPr="006E7BC9" w:rsidRDefault="00846952" w:rsidP="006E7BC9"/>
    <w:p w14:paraId="5CA40C5A" w14:textId="3A0BD330" w:rsidR="006E7BC9" w:rsidRPr="006E7BC9" w:rsidRDefault="006E7BC9" w:rsidP="006E7BC9">
      <w:pPr>
        <w:pStyle w:val="Heading3"/>
        <w:rPr>
          <w:i/>
        </w:rPr>
      </w:pPr>
      <w:bookmarkStart w:id="120" w:name="_Toc509576776"/>
      <w:r>
        <w:t xml:space="preserve">7.1.4 Current </w:t>
      </w:r>
      <w:r>
        <w:rPr>
          <w:i/>
        </w:rPr>
        <w:t xml:space="preserve">ex-post </w:t>
      </w:r>
      <w:r>
        <w:t xml:space="preserve">versus current </w:t>
      </w:r>
      <w:r>
        <w:rPr>
          <w:i/>
        </w:rPr>
        <w:t>ex-ante</w:t>
      </w:r>
      <w:bookmarkEnd w:id="120"/>
    </w:p>
    <w:p w14:paraId="2E98EFA7" w14:textId="7639DE48" w:rsidR="002A561C" w:rsidRPr="008D3A05" w:rsidRDefault="00076AEA" w:rsidP="00095AB1">
      <w:pPr>
        <w:spacing w:after="120"/>
      </w:pPr>
      <w:r>
        <w:t>Table 7.4</w:t>
      </w:r>
      <w:r w:rsidR="002A561C">
        <w:t xml:space="preserve"> compares the </w:t>
      </w:r>
      <w:r w:rsidR="009E619E">
        <w:t xml:space="preserve">CPP </w:t>
      </w:r>
      <w:r w:rsidR="002A561C" w:rsidRPr="002B3851">
        <w:rPr>
          <w:i/>
        </w:rPr>
        <w:t>ex-post</w:t>
      </w:r>
      <w:r w:rsidR="002A561C">
        <w:t xml:space="preserve"> load impacts for </w:t>
      </w:r>
      <w:r w:rsidR="00EA3831">
        <w:t>the</w:t>
      </w:r>
      <w:r w:rsidR="00D15280">
        <w:t xml:space="preserve"> </w:t>
      </w:r>
      <w:r w:rsidR="00C9000F">
        <w:t>average weekday event</w:t>
      </w:r>
      <w:r w:rsidR="009E619E">
        <w:t xml:space="preserve"> </w:t>
      </w:r>
      <w:r w:rsidR="00C75C42">
        <w:t>against the</w:t>
      </w:r>
      <w:r w:rsidR="002A561C">
        <w:t xml:space="preserve"> </w:t>
      </w:r>
      <w:r w:rsidR="002A561C" w:rsidRPr="002B3851">
        <w:rPr>
          <w:i/>
        </w:rPr>
        <w:t>ex-ante</w:t>
      </w:r>
      <w:r w:rsidR="002A561C">
        <w:t xml:space="preserve"> load impacts for 201</w:t>
      </w:r>
      <w:r w:rsidR="00C75C42">
        <w:t>8</w:t>
      </w:r>
      <w:r w:rsidR="006747C5">
        <w:t xml:space="preserve"> (of the SDG&amp;E 1-in-2 August peak day)</w:t>
      </w:r>
      <w:r w:rsidR="00EA3831">
        <w:t xml:space="preserve">, </w:t>
      </w:r>
      <w:r w:rsidR="002A561C">
        <w:t xml:space="preserve">from this study. The </w:t>
      </w:r>
      <w:r w:rsidR="00CF1179">
        <w:rPr>
          <w:i/>
        </w:rPr>
        <w:t xml:space="preserve">ex-post </w:t>
      </w:r>
      <w:r w:rsidR="00CF1179">
        <w:t>and</w:t>
      </w:r>
      <w:r w:rsidR="00576C77">
        <w:t xml:space="preserve"> first set of </w:t>
      </w:r>
      <w:r w:rsidR="002A561C" w:rsidRPr="002B3851">
        <w:rPr>
          <w:i/>
        </w:rPr>
        <w:t>ex-ante</w:t>
      </w:r>
      <w:r w:rsidR="002A561C">
        <w:t xml:space="preserve"> load impacts are averaged over the </w:t>
      </w:r>
      <w:r w:rsidR="00576C77">
        <w:t xml:space="preserve">CPP event hours while the second set of </w:t>
      </w:r>
      <w:r w:rsidR="00576C77" w:rsidRPr="00667B8C">
        <w:rPr>
          <w:i/>
        </w:rPr>
        <w:t>ex-ante</w:t>
      </w:r>
      <w:r w:rsidR="00576C77">
        <w:t xml:space="preserve"> load impacts are summarized over the shorter </w:t>
      </w:r>
      <w:r w:rsidR="002A561C">
        <w:t xml:space="preserve">RA window. </w:t>
      </w:r>
      <w:r w:rsidR="002A561C" w:rsidRPr="00182142">
        <w:t xml:space="preserve">Since our </w:t>
      </w:r>
      <w:r w:rsidR="002A561C" w:rsidRPr="00182142">
        <w:rPr>
          <w:i/>
        </w:rPr>
        <w:t>ex-ante</w:t>
      </w:r>
      <w:r w:rsidR="002A561C" w:rsidRPr="00182142">
        <w:t xml:space="preserve"> </w:t>
      </w:r>
      <w:r w:rsidR="00473271">
        <w:t xml:space="preserve">CPP </w:t>
      </w:r>
      <w:r w:rsidR="002A561C" w:rsidRPr="00182142">
        <w:t>load impacts are built on the 201</w:t>
      </w:r>
      <w:r w:rsidR="00C75C42" w:rsidRPr="00182142">
        <w:t>7</w:t>
      </w:r>
      <w:r w:rsidR="002A561C" w:rsidRPr="00182142">
        <w:t xml:space="preserve"> </w:t>
      </w:r>
      <w:r w:rsidR="002A561C" w:rsidRPr="00182142">
        <w:rPr>
          <w:i/>
        </w:rPr>
        <w:t>ex-post</w:t>
      </w:r>
      <w:r w:rsidR="002A561C" w:rsidRPr="00182142">
        <w:t xml:space="preserve"> value</w:t>
      </w:r>
      <w:r w:rsidR="006B6187" w:rsidRPr="00182142">
        <w:t>s, the per-customer load impact percentages</w:t>
      </w:r>
      <w:r w:rsidR="002A561C" w:rsidRPr="00182142">
        <w:t xml:space="preserve"> are similar</w:t>
      </w:r>
      <w:r w:rsidR="001B70FE">
        <w:t xml:space="preserve"> during the event window</w:t>
      </w:r>
      <w:r w:rsidR="002A561C" w:rsidRPr="00182142">
        <w:t>.</w:t>
      </w:r>
      <w:r w:rsidR="002A561C">
        <w:t xml:space="preserve"> </w:t>
      </w:r>
      <w:r w:rsidR="001B70FE">
        <w:t xml:space="preserve">The RA window includes non-event hour-ending 14 which reduces the percentage load impacts. </w:t>
      </w:r>
      <w:r w:rsidR="004F15D6">
        <w:t xml:space="preserve">Aggregate reference loads and load impacts increase in </w:t>
      </w:r>
      <w:r w:rsidR="004F15D6">
        <w:rPr>
          <w:i/>
        </w:rPr>
        <w:t>ex-ante</w:t>
      </w:r>
      <w:r w:rsidR="004F15D6">
        <w:t xml:space="preserve"> because of the increase in enrollments. The results are consistent between the </w:t>
      </w:r>
      <w:r w:rsidR="004F15D6">
        <w:rPr>
          <w:i/>
        </w:rPr>
        <w:t xml:space="preserve">ex-post </w:t>
      </w:r>
      <w:r w:rsidR="004F15D6">
        <w:t xml:space="preserve">and </w:t>
      </w:r>
      <w:r w:rsidR="004F15D6">
        <w:rPr>
          <w:i/>
        </w:rPr>
        <w:t>ex-ante</w:t>
      </w:r>
      <w:r w:rsidR="004F15D6">
        <w:t xml:space="preserve"> analyses.</w:t>
      </w:r>
    </w:p>
    <w:p w14:paraId="4109B8BD" w14:textId="0E227296" w:rsidR="00655257" w:rsidRDefault="0043336D" w:rsidP="00D31067">
      <w:pPr>
        <w:pStyle w:val="TableCaption"/>
        <w:keepNext/>
        <w:keepLines/>
      </w:pPr>
      <w:bookmarkStart w:id="121" w:name="_Toc413660626"/>
      <w:bookmarkStart w:id="122" w:name="_Toc509576804"/>
      <w:r>
        <w:t>Table 7</w:t>
      </w:r>
      <w:r w:rsidR="002A561C">
        <w:t>.</w:t>
      </w:r>
      <w:r w:rsidR="00076AEA">
        <w:t>4</w:t>
      </w:r>
      <w:r w:rsidR="00A24DCF">
        <w:t>:</w:t>
      </w:r>
      <w:r w:rsidR="002A561C">
        <w:t xml:space="preserve"> </w:t>
      </w:r>
      <w:r w:rsidR="00896A40">
        <w:t xml:space="preserve">Comparison of Current </w:t>
      </w:r>
      <w:r w:rsidR="002A561C" w:rsidRPr="002B3851">
        <w:rPr>
          <w:i/>
        </w:rPr>
        <w:t>Ex-</w:t>
      </w:r>
      <w:r w:rsidR="0023738E">
        <w:rPr>
          <w:i/>
        </w:rPr>
        <w:t>P</w:t>
      </w:r>
      <w:r w:rsidR="002A561C" w:rsidRPr="002B3851">
        <w:rPr>
          <w:i/>
        </w:rPr>
        <w:t>ost</w:t>
      </w:r>
      <w:r w:rsidR="002A561C">
        <w:t xml:space="preserve"> </w:t>
      </w:r>
      <w:r w:rsidR="00896A40">
        <w:t xml:space="preserve">and </w:t>
      </w:r>
      <w:r w:rsidR="002A561C" w:rsidRPr="002B3851">
        <w:rPr>
          <w:i/>
        </w:rPr>
        <w:t>Ex-</w:t>
      </w:r>
      <w:r w:rsidR="0023738E">
        <w:rPr>
          <w:i/>
        </w:rPr>
        <w:t>A</w:t>
      </w:r>
      <w:r w:rsidR="002A561C" w:rsidRPr="002B3851">
        <w:rPr>
          <w:i/>
        </w:rPr>
        <w:t>nte</w:t>
      </w:r>
      <w:r w:rsidR="002A561C">
        <w:t xml:space="preserve"> Load Impacts</w:t>
      </w:r>
      <w:bookmarkEnd w:id="121"/>
      <w:r w:rsidR="00896A40">
        <w:t xml:space="preserve">, </w:t>
      </w:r>
      <w:r w:rsidR="00896A40" w:rsidRPr="00D87BC7">
        <w:rPr>
          <w:i/>
        </w:rPr>
        <w:t>CPP Event</w:t>
      </w:r>
      <w:bookmarkEnd w:id="122"/>
      <w:r w:rsidR="00896A40">
        <w:t xml:space="preserve"> </w:t>
      </w:r>
    </w:p>
    <w:tbl>
      <w:tblPr>
        <w:tblW w:w="7708" w:type="dxa"/>
        <w:jc w:val="center"/>
        <w:tblLook w:val="04A0" w:firstRow="1" w:lastRow="0" w:firstColumn="1" w:lastColumn="0" w:noHBand="0" w:noVBand="1"/>
      </w:tblPr>
      <w:tblGrid>
        <w:gridCol w:w="3120"/>
        <w:gridCol w:w="1638"/>
        <w:gridCol w:w="1517"/>
        <w:gridCol w:w="1433"/>
      </w:tblGrid>
      <w:tr w:rsidR="00076AEA" w:rsidRPr="00D31067" w14:paraId="6788E5C9" w14:textId="77777777" w:rsidTr="00076AEA">
        <w:trPr>
          <w:trHeight w:val="536"/>
          <w:jc w:val="center"/>
        </w:trPr>
        <w:tc>
          <w:tcPr>
            <w:tcW w:w="3120" w:type="dxa"/>
            <w:vMerge w:val="restart"/>
            <w:tcBorders>
              <w:top w:val="single" w:sz="4" w:space="0" w:color="auto"/>
              <w:left w:val="single" w:sz="4" w:space="0" w:color="auto"/>
              <w:bottom w:val="single" w:sz="4" w:space="0" w:color="auto"/>
              <w:right w:val="nil"/>
            </w:tcBorders>
            <w:shd w:val="clear" w:color="auto" w:fill="0C2577"/>
            <w:noWrap/>
            <w:vAlign w:val="center"/>
            <w:hideMark/>
          </w:tcPr>
          <w:p w14:paraId="754A4785" w14:textId="77777777" w:rsidR="00076AEA" w:rsidRPr="00D31067" w:rsidRDefault="00076AEA" w:rsidP="00182142">
            <w:pPr>
              <w:keepNext/>
              <w:jc w:val="center"/>
              <w:rPr>
                <w:rFonts w:cs="Calibri"/>
                <w:b/>
                <w:bCs/>
                <w:color w:val="FFFFFF"/>
                <w:sz w:val="20"/>
                <w:szCs w:val="20"/>
              </w:rPr>
            </w:pPr>
            <w:r w:rsidRPr="00D31067">
              <w:rPr>
                <w:rFonts w:cs="Calibri"/>
                <w:b/>
                <w:bCs/>
                <w:color w:val="FFFFFF"/>
                <w:sz w:val="20"/>
                <w:szCs w:val="20"/>
              </w:rPr>
              <w:t>Result</w:t>
            </w:r>
          </w:p>
        </w:tc>
        <w:tc>
          <w:tcPr>
            <w:tcW w:w="1638" w:type="dxa"/>
            <w:vMerge w:val="restart"/>
            <w:tcBorders>
              <w:top w:val="single" w:sz="4" w:space="0" w:color="auto"/>
              <w:left w:val="single" w:sz="4" w:space="0" w:color="FFFFFF"/>
              <w:bottom w:val="single" w:sz="4" w:space="0" w:color="auto"/>
              <w:right w:val="nil"/>
            </w:tcBorders>
            <w:shd w:val="clear" w:color="auto" w:fill="0C2577"/>
            <w:vAlign w:val="center"/>
            <w:hideMark/>
          </w:tcPr>
          <w:p w14:paraId="3DA6B6D2" w14:textId="77777777" w:rsidR="00076AEA" w:rsidRPr="00D31067" w:rsidRDefault="00076AEA" w:rsidP="00182142">
            <w:pPr>
              <w:keepNext/>
              <w:jc w:val="center"/>
              <w:rPr>
                <w:rFonts w:cs="Calibri"/>
                <w:b/>
                <w:bCs/>
                <w:i/>
                <w:iCs/>
                <w:color w:val="FFFFFF"/>
                <w:sz w:val="20"/>
                <w:szCs w:val="20"/>
              </w:rPr>
            </w:pPr>
            <w:r w:rsidRPr="00D31067">
              <w:rPr>
                <w:rFonts w:cs="Calibri"/>
                <w:b/>
                <w:bCs/>
                <w:i/>
                <w:iCs/>
                <w:color w:val="FFFFFF"/>
                <w:sz w:val="20"/>
                <w:szCs w:val="20"/>
              </w:rPr>
              <w:t>Ex-post</w:t>
            </w:r>
            <w:r w:rsidRPr="00D31067">
              <w:rPr>
                <w:rFonts w:cs="Calibri"/>
                <w:b/>
                <w:bCs/>
                <w:color w:val="FFFFFF"/>
                <w:sz w:val="20"/>
                <w:szCs w:val="20"/>
              </w:rPr>
              <w:t xml:space="preserve"> for 2017 (Event Window)</w:t>
            </w:r>
          </w:p>
        </w:tc>
        <w:tc>
          <w:tcPr>
            <w:tcW w:w="1517" w:type="dxa"/>
            <w:vMerge w:val="restart"/>
            <w:tcBorders>
              <w:top w:val="single" w:sz="4" w:space="0" w:color="auto"/>
              <w:left w:val="single" w:sz="4" w:space="0" w:color="FFFFFF"/>
              <w:bottom w:val="single" w:sz="4" w:space="0" w:color="auto"/>
              <w:right w:val="single" w:sz="4" w:space="0" w:color="FFFFFF"/>
            </w:tcBorders>
            <w:shd w:val="clear" w:color="auto" w:fill="0C2577"/>
            <w:vAlign w:val="center"/>
            <w:hideMark/>
          </w:tcPr>
          <w:p w14:paraId="3FC079B8" w14:textId="77777777" w:rsidR="00076AEA" w:rsidRPr="00D31067" w:rsidRDefault="00076AEA" w:rsidP="00182142">
            <w:pPr>
              <w:keepNext/>
              <w:jc w:val="center"/>
              <w:rPr>
                <w:rFonts w:cs="Calibri"/>
                <w:b/>
                <w:bCs/>
                <w:i/>
                <w:iCs/>
                <w:color w:val="FFFFFF"/>
                <w:sz w:val="20"/>
                <w:szCs w:val="20"/>
              </w:rPr>
            </w:pPr>
            <w:r w:rsidRPr="00D31067">
              <w:rPr>
                <w:rFonts w:cs="Calibri"/>
                <w:b/>
                <w:bCs/>
                <w:i/>
                <w:iCs/>
                <w:color w:val="FFFFFF"/>
                <w:sz w:val="20"/>
                <w:szCs w:val="20"/>
              </w:rPr>
              <w:t>Ex-ante</w:t>
            </w:r>
            <w:r w:rsidRPr="00D31067">
              <w:rPr>
                <w:rFonts w:cs="Calibri"/>
                <w:b/>
                <w:bCs/>
                <w:color w:val="FFFFFF"/>
                <w:sz w:val="20"/>
                <w:szCs w:val="20"/>
              </w:rPr>
              <w:t xml:space="preserve"> for 2018 Peak Day (Event Window)</w:t>
            </w:r>
          </w:p>
        </w:tc>
        <w:tc>
          <w:tcPr>
            <w:tcW w:w="1433" w:type="dxa"/>
            <w:vMerge w:val="restart"/>
            <w:tcBorders>
              <w:top w:val="single" w:sz="4" w:space="0" w:color="auto"/>
              <w:left w:val="nil"/>
              <w:bottom w:val="single" w:sz="4" w:space="0" w:color="auto"/>
              <w:right w:val="single" w:sz="4" w:space="0" w:color="auto"/>
            </w:tcBorders>
            <w:shd w:val="clear" w:color="auto" w:fill="0C2577"/>
            <w:vAlign w:val="center"/>
            <w:hideMark/>
          </w:tcPr>
          <w:p w14:paraId="560A631B" w14:textId="77777777" w:rsidR="00076AEA" w:rsidRPr="00D31067" w:rsidRDefault="00076AEA" w:rsidP="00182142">
            <w:pPr>
              <w:keepNext/>
              <w:jc w:val="center"/>
              <w:rPr>
                <w:rFonts w:cs="Calibri"/>
                <w:b/>
                <w:bCs/>
                <w:i/>
                <w:iCs/>
                <w:color w:val="FFFFFF"/>
                <w:sz w:val="20"/>
                <w:szCs w:val="20"/>
              </w:rPr>
            </w:pPr>
            <w:r w:rsidRPr="00D31067">
              <w:rPr>
                <w:rFonts w:cs="Calibri"/>
                <w:b/>
                <w:bCs/>
                <w:i/>
                <w:iCs/>
                <w:color w:val="FFFFFF"/>
                <w:sz w:val="20"/>
                <w:szCs w:val="20"/>
              </w:rPr>
              <w:t>Ex-ante</w:t>
            </w:r>
            <w:r w:rsidRPr="00D31067">
              <w:rPr>
                <w:rFonts w:cs="Calibri"/>
                <w:b/>
                <w:bCs/>
                <w:color w:val="FFFFFF"/>
                <w:sz w:val="20"/>
                <w:szCs w:val="20"/>
              </w:rPr>
              <w:t xml:space="preserve"> for 2018 Peak Day (RA Window)</w:t>
            </w:r>
          </w:p>
        </w:tc>
      </w:tr>
      <w:tr w:rsidR="00076AEA" w:rsidRPr="00D31067" w14:paraId="0D9BE72D" w14:textId="77777777" w:rsidTr="00076AEA">
        <w:trPr>
          <w:trHeight w:val="293"/>
          <w:jc w:val="center"/>
        </w:trPr>
        <w:tc>
          <w:tcPr>
            <w:tcW w:w="3120" w:type="dxa"/>
            <w:vMerge/>
            <w:tcBorders>
              <w:top w:val="single" w:sz="4" w:space="0" w:color="auto"/>
              <w:left w:val="single" w:sz="4" w:space="0" w:color="auto"/>
              <w:bottom w:val="single" w:sz="4" w:space="0" w:color="auto"/>
              <w:right w:val="nil"/>
            </w:tcBorders>
            <w:shd w:val="clear" w:color="auto" w:fill="0C2577"/>
            <w:vAlign w:val="center"/>
            <w:hideMark/>
          </w:tcPr>
          <w:p w14:paraId="1698CFE0" w14:textId="77777777" w:rsidR="00076AEA" w:rsidRPr="00D31067" w:rsidRDefault="00076AEA" w:rsidP="00182142">
            <w:pPr>
              <w:keepNext/>
              <w:rPr>
                <w:rFonts w:cs="Calibri"/>
                <w:b/>
                <w:bCs/>
                <w:color w:val="FFFFFF"/>
                <w:sz w:val="20"/>
                <w:szCs w:val="20"/>
              </w:rPr>
            </w:pPr>
          </w:p>
        </w:tc>
        <w:tc>
          <w:tcPr>
            <w:tcW w:w="1638" w:type="dxa"/>
            <w:vMerge/>
            <w:tcBorders>
              <w:top w:val="single" w:sz="4" w:space="0" w:color="auto"/>
              <w:left w:val="single" w:sz="4" w:space="0" w:color="FFFFFF"/>
              <w:bottom w:val="single" w:sz="4" w:space="0" w:color="auto"/>
              <w:right w:val="nil"/>
            </w:tcBorders>
            <w:shd w:val="clear" w:color="auto" w:fill="0C2577"/>
            <w:vAlign w:val="center"/>
            <w:hideMark/>
          </w:tcPr>
          <w:p w14:paraId="7F6B7394" w14:textId="77777777" w:rsidR="00076AEA" w:rsidRPr="00D31067" w:rsidRDefault="00076AEA" w:rsidP="00182142">
            <w:pPr>
              <w:keepNext/>
              <w:rPr>
                <w:rFonts w:cs="Calibri"/>
                <w:b/>
                <w:bCs/>
                <w:i/>
                <w:iCs/>
                <w:color w:val="FFFFFF"/>
                <w:sz w:val="20"/>
                <w:szCs w:val="20"/>
              </w:rPr>
            </w:pPr>
          </w:p>
        </w:tc>
        <w:tc>
          <w:tcPr>
            <w:tcW w:w="1517" w:type="dxa"/>
            <w:vMerge/>
            <w:tcBorders>
              <w:top w:val="single" w:sz="4" w:space="0" w:color="auto"/>
              <w:left w:val="single" w:sz="4" w:space="0" w:color="FFFFFF"/>
              <w:bottom w:val="single" w:sz="4" w:space="0" w:color="auto"/>
              <w:right w:val="single" w:sz="4" w:space="0" w:color="FFFFFF"/>
            </w:tcBorders>
            <w:shd w:val="clear" w:color="auto" w:fill="0C2577"/>
            <w:vAlign w:val="center"/>
            <w:hideMark/>
          </w:tcPr>
          <w:p w14:paraId="583DDF3D" w14:textId="77777777" w:rsidR="00076AEA" w:rsidRPr="00D31067" w:rsidRDefault="00076AEA" w:rsidP="00182142">
            <w:pPr>
              <w:keepNext/>
              <w:rPr>
                <w:rFonts w:cs="Calibri"/>
                <w:b/>
                <w:bCs/>
                <w:i/>
                <w:iCs/>
                <w:color w:val="FFFFFF"/>
                <w:sz w:val="20"/>
                <w:szCs w:val="20"/>
              </w:rPr>
            </w:pPr>
          </w:p>
        </w:tc>
        <w:tc>
          <w:tcPr>
            <w:tcW w:w="1433" w:type="dxa"/>
            <w:vMerge/>
            <w:tcBorders>
              <w:top w:val="single" w:sz="4" w:space="0" w:color="auto"/>
              <w:left w:val="nil"/>
              <w:bottom w:val="single" w:sz="4" w:space="0" w:color="auto"/>
              <w:right w:val="single" w:sz="4" w:space="0" w:color="auto"/>
            </w:tcBorders>
            <w:shd w:val="clear" w:color="auto" w:fill="0C2577"/>
            <w:vAlign w:val="center"/>
            <w:hideMark/>
          </w:tcPr>
          <w:p w14:paraId="58AA0558" w14:textId="77777777" w:rsidR="00076AEA" w:rsidRPr="00D31067" w:rsidRDefault="00076AEA" w:rsidP="00182142">
            <w:pPr>
              <w:keepNext/>
              <w:rPr>
                <w:rFonts w:cs="Calibri"/>
                <w:b/>
                <w:bCs/>
                <w:i/>
                <w:iCs/>
                <w:color w:val="FFFFFF"/>
                <w:sz w:val="20"/>
                <w:szCs w:val="20"/>
              </w:rPr>
            </w:pPr>
          </w:p>
        </w:tc>
      </w:tr>
      <w:tr w:rsidR="00076AEA" w:rsidRPr="00D31067" w14:paraId="0604D9D7" w14:textId="77777777" w:rsidTr="00076AEA">
        <w:trPr>
          <w:trHeight w:val="19"/>
          <w:jc w:val="center"/>
        </w:trPr>
        <w:tc>
          <w:tcPr>
            <w:tcW w:w="3120" w:type="dxa"/>
            <w:tcBorders>
              <w:top w:val="nil"/>
              <w:left w:val="single" w:sz="4" w:space="0" w:color="auto"/>
              <w:bottom w:val="single" w:sz="4" w:space="0" w:color="auto"/>
              <w:right w:val="single" w:sz="4" w:space="0" w:color="auto"/>
            </w:tcBorders>
            <w:shd w:val="clear" w:color="auto" w:fill="auto"/>
            <w:noWrap/>
            <w:vAlign w:val="center"/>
            <w:hideMark/>
          </w:tcPr>
          <w:p w14:paraId="74916C5C" w14:textId="61ABD3FD" w:rsidR="00076AEA" w:rsidRPr="00D31067" w:rsidRDefault="00076AEA" w:rsidP="00182142">
            <w:pPr>
              <w:keepNext/>
              <w:rPr>
                <w:rFonts w:cs="Calibri"/>
                <w:color w:val="000000"/>
                <w:sz w:val="20"/>
                <w:szCs w:val="20"/>
              </w:rPr>
            </w:pPr>
            <w:r w:rsidRPr="00D31067">
              <w:rPr>
                <w:rFonts w:cs="Calibri"/>
                <w:color w:val="000000"/>
                <w:sz w:val="20"/>
                <w:szCs w:val="20"/>
              </w:rPr>
              <w:t xml:space="preserve"># </w:t>
            </w:r>
            <w:r>
              <w:rPr>
                <w:rFonts w:cs="Calibri"/>
                <w:color w:val="000000"/>
                <w:sz w:val="20"/>
                <w:szCs w:val="20"/>
              </w:rPr>
              <w:t>Enrolled</w:t>
            </w:r>
          </w:p>
        </w:tc>
        <w:tc>
          <w:tcPr>
            <w:tcW w:w="1638" w:type="dxa"/>
            <w:tcBorders>
              <w:top w:val="nil"/>
              <w:left w:val="nil"/>
              <w:bottom w:val="single" w:sz="4" w:space="0" w:color="auto"/>
              <w:right w:val="single" w:sz="4" w:space="0" w:color="auto"/>
            </w:tcBorders>
            <w:shd w:val="clear" w:color="auto" w:fill="auto"/>
            <w:noWrap/>
            <w:vAlign w:val="center"/>
            <w:hideMark/>
          </w:tcPr>
          <w:p w14:paraId="09F6EB1A" w14:textId="77777777" w:rsidR="00076AEA" w:rsidRPr="00D31067" w:rsidRDefault="00076AEA" w:rsidP="00182142">
            <w:pPr>
              <w:keepNext/>
              <w:jc w:val="center"/>
              <w:rPr>
                <w:rFonts w:cs="Calibri"/>
                <w:color w:val="000000"/>
                <w:sz w:val="20"/>
                <w:szCs w:val="20"/>
              </w:rPr>
            </w:pPr>
            <w:r w:rsidRPr="00D31067">
              <w:rPr>
                <w:rFonts w:cs="Calibri"/>
                <w:color w:val="000000"/>
                <w:sz w:val="20"/>
                <w:szCs w:val="20"/>
              </w:rPr>
              <w:t>4,935</w:t>
            </w:r>
          </w:p>
        </w:tc>
        <w:tc>
          <w:tcPr>
            <w:tcW w:w="1517" w:type="dxa"/>
            <w:tcBorders>
              <w:top w:val="nil"/>
              <w:left w:val="nil"/>
              <w:bottom w:val="single" w:sz="4" w:space="0" w:color="auto"/>
              <w:right w:val="single" w:sz="4" w:space="0" w:color="auto"/>
            </w:tcBorders>
            <w:shd w:val="clear" w:color="auto" w:fill="auto"/>
            <w:noWrap/>
            <w:vAlign w:val="center"/>
            <w:hideMark/>
          </w:tcPr>
          <w:p w14:paraId="60A60AA7" w14:textId="7D01BEE5" w:rsidR="00076AEA" w:rsidRPr="00D31067" w:rsidRDefault="00076AEA" w:rsidP="00182142">
            <w:pPr>
              <w:keepNext/>
              <w:jc w:val="center"/>
              <w:rPr>
                <w:rFonts w:cs="Calibri"/>
                <w:color w:val="000000"/>
                <w:sz w:val="20"/>
                <w:szCs w:val="20"/>
              </w:rPr>
            </w:pPr>
            <w:r>
              <w:rPr>
                <w:rFonts w:cs="Calibri"/>
                <w:color w:val="000000"/>
                <w:sz w:val="20"/>
                <w:szCs w:val="20"/>
              </w:rPr>
              <w:t>5,611</w:t>
            </w:r>
          </w:p>
        </w:tc>
        <w:tc>
          <w:tcPr>
            <w:tcW w:w="1433" w:type="dxa"/>
            <w:tcBorders>
              <w:top w:val="nil"/>
              <w:left w:val="nil"/>
              <w:bottom w:val="single" w:sz="4" w:space="0" w:color="auto"/>
              <w:right w:val="single" w:sz="4" w:space="0" w:color="auto"/>
            </w:tcBorders>
            <w:shd w:val="clear" w:color="auto" w:fill="auto"/>
            <w:noWrap/>
            <w:vAlign w:val="center"/>
            <w:hideMark/>
          </w:tcPr>
          <w:p w14:paraId="5CF38A13" w14:textId="77777777" w:rsidR="00076AEA" w:rsidRPr="00D31067" w:rsidRDefault="00076AEA" w:rsidP="00182142">
            <w:pPr>
              <w:keepNext/>
              <w:jc w:val="center"/>
              <w:rPr>
                <w:rFonts w:cs="Calibri"/>
                <w:color w:val="000000"/>
                <w:sz w:val="20"/>
                <w:szCs w:val="20"/>
              </w:rPr>
            </w:pPr>
            <w:r w:rsidRPr="00D31067">
              <w:rPr>
                <w:rFonts w:cs="Calibri"/>
                <w:color w:val="000000"/>
                <w:sz w:val="20"/>
                <w:szCs w:val="20"/>
              </w:rPr>
              <w:t>5,611</w:t>
            </w:r>
          </w:p>
        </w:tc>
      </w:tr>
      <w:tr w:rsidR="00076AEA" w:rsidRPr="00D31067" w14:paraId="0DD035BE" w14:textId="77777777" w:rsidTr="00076AEA">
        <w:trPr>
          <w:trHeight w:val="19"/>
          <w:jc w:val="center"/>
        </w:trPr>
        <w:tc>
          <w:tcPr>
            <w:tcW w:w="3120" w:type="dxa"/>
            <w:tcBorders>
              <w:top w:val="nil"/>
              <w:left w:val="single" w:sz="4" w:space="0" w:color="auto"/>
              <w:bottom w:val="single" w:sz="4" w:space="0" w:color="auto"/>
              <w:right w:val="single" w:sz="4" w:space="0" w:color="auto"/>
            </w:tcBorders>
            <w:shd w:val="clear" w:color="auto" w:fill="auto"/>
            <w:noWrap/>
            <w:vAlign w:val="center"/>
            <w:hideMark/>
          </w:tcPr>
          <w:p w14:paraId="5B25FC9E" w14:textId="399FF951" w:rsidR="00076AEA" w:rsidRPr="00D31067" w:rsidRDefault="00076AEA" w:rsidP="00182142">
            <w:pPr>
              <w:keepNext/>
              <w:rPr>
                <w:rFonts w:cs="Calibri"/>
                <w:color w:val="000000"/>
                <w:sz w:val="20"/>
                <w:szCs w:val="20"/>
              </w:rPr>
            </w:pPr>
            <w:r w:rsidRPr="00D31067">
              <w:rPr>
                <w:rFonts w:cs="Calibri"/>
                <w:color w:val="000000"/>
                <w:sz w:val="20"/>
                <w:szCs w:val="20"/>
              </w:rPr>
              <w:t>Reference (MW</w:t>
            </w:r>
            <w:r>
              <w:rPr>
                <w:rFonts w:cs="Calibri"/>
                <w:color w:val="000000"/>
                <w:sz w:val="20"/>
                <w:szCs w:val="20"/>
              </w:rPr>
              <w:t>h/h</w:t>
            </w:r>
            <w:r w:rsidRPr="00D31067">
              <w:rPr>
                <w:rFonts w:cs="Calibri"/>
                <w:color w:val="000000"/>
                <w:sz w:val="20"/>
                <w:szCs w:val="20"/>
              </w:rPr>
              <w:t>)</w:t>
            </w:r>
          </w:p>
        </w:tc>
        <w:tc>
          <w:tcPr>
            <w:tcW w:w="1638" w:type="dxa"/>
            <w:tcBorders>
              <w:top w:val="nil"/>
              <w:left w:val="nil"/>
              <w:bottom w:val="single" w:sz="4" w:space="0" w:color="auto"/>
              <w:right w:val="single" w:sz="4" w:space="0" w:color="auto"/>
            </w:tcBorders>
            <w:shd w:val="clear" w:color="auto" w:fill="auto"/>
            <w:noWrap/>
            <w:vAlign w:val="center"/>
            <w:hideMark/>
          </w:tcPr>
          <w:p w14:paraId="5B59211A" w14:textId="77777777" w:rsidR="00076AEA" w:rsidRPr="00D31067" w:rsidRDefault="00076AEA" w:rsidP="00182142">
            <w:pPr>
              <w:keepNext/>
              <w:jc w:val="center"/>
              <w:rPr>
                <w:rFonts w:cs="Calibri"/>
                <w:color w:val="000000"/>
                <w:sz w:val="20"/>
                <w:szCs w:val="20"/>
              </w:rPr>
            </w:pPr>
            <w:r w:rsidRPr="00D31067">
              <w:rPr>
                <w:rFonts w:cs="Calibri"/>
                <w:color w:val="000000"/>
                <w:sz w:val="20"/>
                <w:szCs w:val="20"/>
              </w:rPr>
              <w:t>6.76</w:t>
            </w:r>
          </w:p>
        </w:tc>
        <w:tc>
          <w:tcPr>
            <w:tcW w:w="1517" w:type="dxa"/>
            <w:tcBorders>
              <w:top w:val="nil"/>
              <w:left w:val="nil"/>
              <w:bottom w:val="single" w:sz="4" w:space="0" w:color="auto"/>
              <w:right w:val="single" w:sz="4" w:space="0" w:color="auto"/>
            </w:tcBorders>
            <w:shd w:val="clear" w:color="auto" w:fill="auto"/>
            <w:noWrap/>
            <w:vAlign w:val="center"/>
            <w:hideMark/>
          </w:tcPr>
          <w:p w14:paraId="0557BBEA" w14:textId="74C0D8AE" w:rsidR="00076AEA" w:rsidRPr="00D31067" w:rsidRDefault="00076AEA" w:rsidP="00182142">
            <w:pPr>
              <w:keepNext/>
              <w:jc w:val="center"/>
              <w:rPr>
                <w:rFonts w:cs="Calibri"/>
                <w:color w:val="000000"/>
                <w:sz w:val="20"/>
                <w:szCs w:val="20"/>
              </w:rPr>
            </w:pPr>
            <w:r>
              <w:rPr>
                <w:rFonts w:cs="Calibri"/>
                <w:color w:val="000000"/>
                <w:sz w:val="20"/>
                <w:szCs w:val="20"/>
              </w:rPr>
              <w:t>7.72</w:t>
            </w:r>
          </w:p>
        </w:tc>
        <w:tc>
          <w:tcPr>
            <w:tcW w:w="1433" w:type="dxa"/>
            <w:tcBorders>
              <w:top w:val="nil"/>
              <w:left w:val="nil"/>
              <w:bottom w:val="single" w:sz="4" w:space="0" w:color="auto"/>
              <w:right w:val="single" w:sz="4" w:space="0" w:color="auto"/>
            </w:tcBorders>
            <w:shd w:val="clear" w:color="auto" w:fill="auto"/>
            <w:noWrap/>
            <w:vAlign w:val="center"/>
            <w:hideMark/>
          </w:tcPr>
          <w:p w14:paraId="11D0AED7" w14:textId="77777777" w:rsidR="00076AEA" w:rsidRPr="00D31067" w:rsidRDefault="00076AEA" w:rsidP="00182142">
            <w:pPr>
              <w:keepNext/>
              <w:jc w:val="center"/>
              <w:rPr>
                <w:rFonts w:cs="Calibri"/>
                <w:color w:val="000000"/>
                <w:sz w:val="20"/>
                <w:szCs w:val="20"/>
              </w:rPr>
            </w:pPr>
            <w:r w:rsidRPr="00D31067">
              <w:rPr>
                <w:rFonts w:cs="Calibri"/>
                <w:color w:val="000000"/>
                <w:sz w:val="20"/>
                <w:szCs w:val="20"/>
              </w:rPr>
              <w:t>7.60</w:t>
            </w:r>
          </w:p>
        </w:tc>
      </w:tr>
      <w:tr w:rsidR="00076AEA" w:rsidRPr="00D31067" w14:paraId="23A64959" w14:textId="77777777" w:rsidTr="00076AEA">
        <w:trPr>
          <w:trHeight w:val="19"/>
          <w:jc w:val="center"/>
        </w:trPr>
        <w:tc>
          <w:tcPr>
            <w:tcW w:w="3120" w:type="dxa"/>
            <w:tcBorders>
              <w:top w:val="nil"/>
              <w:left w:val="single" w:sz="4" w:space="0" w:color="auto"/>
              <w:bottom w:val="single" w:sz="4" w:space="0" w:color="auto"/>
              <w:right w:val="single" w:sz="4" w:space="0" w:color="auto"/>
            </w:tcBorders>
            <w:shd w:val="clear" w:color="auto" w:fill="auto"/>
            <w:noWrap/>
            <w:vAlign w:val="center"/>
            <w:hideMark/>
          </w:tcPr>
          <w:p w14:paraId="2E323074" w14:textId="7993623D" w:rsidR="00076AEA" w:rsidRPr="00D31067" w:rsidRDefault="00076AEA" w:rsidP="00182142">
            <w:pPr>
              <w:keepNext/>
              <w:rPr>
                <w:rFonts w:cs="Calibri"/>
                <w:color w:val="000000"/>
                <w:sz w:val="20"/>
                <w:szCs w:val="20"/>
              </w:rPr>
            </w:pPr>
            <w:r w:rsidRPr="00D31067">
              <w:rPr>
                <w:rFonts w:cs="Calibri"/>
                <w:color w:val="000000"/>
                <w:sz w:val="20"/>
                <w:szCs w:val="20"/>
              </w:rPr>
              <w:t>Load Impact (MW</w:t>
            </w:r>
            <w:r>
              <w:rPr>
                <w:rFonts w:cs="Calibri"/>
                <w:color w:val="000000"/>
                <w:sz w:val="20"/>
                <w:szCs w:val="20"/>
              </w:rPr>
              <w:t>h/h</w:t>
            </w:r>
            <w:r w:rsidRPr="00D31067">
              <w:rPr>
                <w:rFonts w:cs="Calibri"/>
                <w:color w:val="000000"/>
                <w:sz w:val="20"/>
                <w:szCs w:val="20"/>
              </w:rPr>
              <w:t>)</w:t>
            </w:r>
          </w:p>
        </w:tc>
        <w:tc>
          <w:tcPr>
            <w:tcW w:w="1638" w:type="dxa"/>
            <w:tcBorders>
              <w:top w:val="nil"/>
              <w:left w:val="nil"/>
              <w:bottom w:val="single" w:sz="4" w:space="0" w:color="auto"/>
              <w:right w:val="single" w:sz="4" w:space="0" w:color="auto"/>
            </w:tcBorders>
            <w:shd w:val="clear" w:color="auto" w:fill="auto"/>
            <w:noWrap/>
            <w:vAlign w:val="center"/>
            <w:hideMark/>
          </w:tcPr>
          <w:p w14:paraId="5679920E" w14:textId="77777777" w:rsidR="00076AEA" w:rsidRPr="00D31067" w:rsidRDefault="00076AEA" w:rsidP="00182142">
            <w:pPr>
              <w:keepNext/>
              <w:jc w:val="center"/>
              <w:rPr>
                <w:rFonts w:cs="Calibri"/>
                <w:color w:val="000000"/>
                <w:sz w:val="20"/>
                <w:szCs w:val="20"/>
              </w:rPr>
            </w:pPr>
            <w:r w:rsidRPr="00D31067">
              <w:rPr>
                <w:rFonts w:cs="Calibri"/>
                <w:color w:val="000000"/>
                <w:sz w:val="20"/>
                <w:szCs w:val="20"/>
              </w:rPr>
              <w:t>0.90</w:t>
            </w:r>
          </w:p>
        </w:tc>
        <w:tc>
          <w:tcPr>
            <w:tcW w:w="1517" w:type="dxa"/>
            <w:tcBorders>
              <w:top w:val="nil"/>
              <w:left w:val="nil"/>
              <w:bottom w:val="single" w:sz="4" w:space="0" w:color="auto"/>
              <w:right w:val="single" w:sz="4" w:space="0" w:color="auto"/>
            </w:tcBorders>
            <w:shd w:val="clear" w:color="auto" w:fill="auto"/>
            <w:noWrap/>
            <w:vAlign w:val="center"/>
            <w:hideMark/>
          </w:tcPr>
          <w:p w14:paraId="10E4FA9B" w14:textId="4269ADB2" w:rsidR="00076AEA" w:rsidRPr="00D31067" w:rsidRDefault="00076AEA" w:rsidP="00182142">
            <w:pPr>
              <w:keepNext/>
              <w:jc w:val="center"/>
              <w:rPr>
                <w:rFonts w:cs="Calibri"/>
                <w:color w:val="000000"/>
                <w:sz w:val="20"/>
                <w:szCs w:val="20"/>
              </w:rPr>
            </w:pPr>
            <w:r>
              <w:rPr>
                <w:rFonts w:cs="Calibri"/>
                <w:color w:val="000000"/>
                <w:sz w:val="20"/>
                <w:szCs w:val="20"/>
              </w:rPr>
              <w:t>1.03</w:t>
            </w:r>
          </w:p>
        </w:tc>
        <w:tc>
          <w:tcPr>
            <w:tcW w:w="1433" w:type="dxa"/>
            <w:tcBorders>
              <w:top w:val="nil"/>
              <w:left w:val="nil"/>
              <w:bottom w:val="single" w:sz="4" w:space="0" w:color="auto"/>
              <w:right w:val="single" w:sz="4" w:space="0" w:color="auto"/>
            </w:tcBorders>
            <w:shd w:val="clear" w:color="auto" w:fill="auto"/>
            <w:noWrap/>
            <w:vAlign w:val="center"/>
            <w:hideMark/>
          </w:tcPr>
          <w:p w14:paraId="3B6EC5C7" w14:textId="77777777" w:rsidR="00076AEA" w:rsidRPr="00D31067" w:rsidRDefault="00076AEA" w:rsidP="00182142">
            <w:pPr>
              <w:keepNext/>
              <w:jc w:val="center"/>
              <w:rPr>
                <w:rFonts w:cs="Calibri"/>
                <w:color w:val="000000"/>
                <w:sz w:val="20"/>
                <w:szCs w:val="20"/>
              </w:rPr>
            </w:pPr>
            <w:r w:rsidRPr="00D31067">
              <w:rPr>
                <w:rFonts w:cs="Calibri"/>
                <w:color w:val="000000"/>
                <w:sz w:val="20"/>
                <w:szCs w:val="20"/>
              </w:rPr>
              <w:t>0.87</w:t>
            </w:r>
          </w:p>
        </w:tc>
      </w:tr>
      <w:tr w:rsidR="00076AEA" w:rsidRPr="00D31067" w14:paraId="71A0B97B" w14:textId="77777777" w:rsidTr="00076AEA">
        <w:trPr>
          <w:trHeight w:val="19"/>
          <w:jc w:val="center"/>
        </w:trPr>
        <w:tc>
          <w:tcPr>
            <w:tcW w:w="3120" w:type="dxa"/>
            <w:tcBorders>
              <w:top w:val="nil"/>
              <w:left w:val="single" w:sz="4" w:space="0" w:color="auto"/>
              <w:bottom w:val="single" w:sz="4" w:space="0" w:color="auto"/>
              <w:right w:val="single" w:sz="4" w:space="0" w:color="auto"/>
            </w:tcBorders>
            <w:shd w:val="clear" w:color="auto" w:fill="auto"/>
            <w:noWrap/>
            <w:vAlign w:val="center"/>
            <w:hideMark/>
          </w:tcPr>
          <w:p w14:paraId="0BB012C0" w14:textId="2E8DF2D4" w:rsidR="00076AEA" w:rsidRPr="00D31067" w:rsidRDefault="00076AEA" w:rsidP="00182142">
            <w:pPr>
              <w:keepNext/>
              <w:rPr>
                <w:rFonts w:cs="Calibri"/>
                <w:color w:val="000000"/>
                <w:sz w:val="20"/>
                <w:szCs w:val="20"/>
              </w:rPr>
            </w:pPr>
            <w:r w:rsidRPr="00D31067">
              <w:rPr>
                <w:rFonts w:cs="Calibri"/>
                <w:color w:val="000000"/>
                <w:sz w:val="20"/>
                <w:szCs w:val="20"/>
              </w:rPr>
              <w:t>Per-</w:t>
            </w:r>
            <w:r>
              <w:rPr>
                <w:rFonts w:cs="Calibri"/>
                <w:color w:val="000000"/>
                <w:sz w:val="20"/>
                <w:szCs w:val="20"/>
              </w:rPr>
              <w:t>customer</w:t>
            </w:r>
            <w:r w:rsidRPr="00D31067">
              <w:rPr>
                <w:rFonts w:cs="Calibri"/>
                <w:color w:val="000000"/>
                <w:sz w:val="20"/>
                <w:szCs w:val="20"/>
              </w:rPr>
              <w:t xml:space="preserve"> reference (kW</w:t>
            </w:r>
            <w:r>
              <w:rPr>
                <w:rFonts w:cs="Calibri"/>
                <w:color w:val="000000"/>
                <w:sz w:val="20"/>
                <w:szCs w:val="20"/>
              </w:rPr>
              <w:t>h/h</w:t>
            </w:r>
            <w:r w:rsidRPr="00D31067">
              <w:rPr>
                <w:rFonts w:cs="Calibri"/>
                <w:color w:val="000000"/>
                <w:sz w:val="20"/>
                <w:szCs w:val="20"/>
              </w:rPr>
              <w:t>)</w:t>
            </w:r>
          </w:p>
        </w:tc>
        <w:tc>
          <w:tcPr>
            <w:tcW w:w="1638" w:type="dxa"/>
            <w:tcBorders>
              <w:top w:val="nil"/>
              <w:left w:val="nil"/>
              <w:bottom w:val="single" w:sz="4" w:space="0" w:color="auto"/>
              <w:right w:val="single" w:sz="4" w:space="0" w:color="auto"/>
            </w:tcBorders>
            <w:shd w:val="clear" w:color="auto" w:fill="auto"/>
            <w:noWrap/>
            <w:vAlign w:val="center"/>
            <w:hideMark/>
          </w:tcPr>
          <w:p w14:paraId="7CCC0E50" w14:textId="77777777" w:rsidR="00076AEA" w:rsidRPr="00D31067" w:rsidRDefault="00076AEA" w:rsidP="00182142">
            <w:pPr>
              <w:keepNext/>
              <w:jc w:val="center"/>
              <w:rPr>
                <w:rFonts w:cs="Calibri"/>
                <w:color w:val="000000"/>
                <w:sz w:val="20"/>
                <w:szCs w:val="20"/>
              </w:rPr>
            </w:pPr>
            <w:r w:rsidRPr="00D31067">
              <w:rPr>
                <w:rFonts w:cs="Calibri"/>
                <w:color w:val="000000"/>
                <w:sz w:val="20"/>
                <w:szCs w:val="20"/>
              </w:rPr>
              <w:t>1.37</w:t>
            </w:r>
          </w:p>
        </w:tc>
        <w:tc>
          <w:tcPr>
            <w:tcW w:w="1517" w:type="dxa"/>
            <w:tcBorders>
              <w:top w:val="nil"/>
              <w:left w:val="nil"/>
              <w:bottom w:val="single" w:sz="4" w:space="0" w:color="auto"/>
              <w:right w:val="single" w:sz="4" w:space="0" w:color="auto"/>
            </w:tcBorders>
            <w:shd w:val="clear" w:color="auto" w:fill="auto"/>
            <w:noWrap/>
            <w:vAlign w:val="center"/>
            <w:hideMark/>
          </w:tcPr>
          <w:p w14:paraId="3B4E069A" w14:textId="23665F02" w:rsidR="00076AEA" w:rsidRPr="00D31067" w:rsidRDefault="00076AEA" w:rsidP="00182142">
            <w:pPr>
              <w:keepNext/>
              <w:jc w:val="center"/>
              <w:rPr>
                <w:rFonts w:cs="Calibri"/>
                <w:color w:val="000000"/>
                <w:sz w:val="20"/>
                <w:szCs w:val="20"/>
              </w:rPr>
            </w:pPr>
            <w:r>
              <w:rPr>
                <w:rFonts w:cs="Calibri"/>
                <w:color w:val="000000"/>
                <w:sz w:val="20"/>
                <w:szCs w:val="20"/>
              </w:rPr>
              <w:t>1.38</w:t>
            </w:r>
          </w:p>
        </w:tc>
        <w:tc>
          <w:tcPr>
            <w:tcW w:w="1433" w:type="dxa"/>
            <w:tcBorders>
              <w:top w:val="nil"/>
              <w:left w:val="nil"/>
              <w:bottom w:val="single" w:sz="4" w:space="0" w:color="auto"/>
              <w:right w:val="single" w:sz="4" w:space="0" w:color="auto"/>
            </w:tcBorders>
            <w:shd w:val="clear" w:color="auto" w:fill="auto"/>
            <w:noWrap/>
            <w:vAlign w:val="center"/>
            <w:hideMark/>
          </w:tcPr>
          <w:p w14:paraId="3B601F62" w14:textId="77777777" w:rsidR="00076AEA" w:rsidRPr="00D31067" w:rsidRDefault="00076AEA" w:rsidP="00182142">
            <w:pPr>
              <w:keepNext/>
              <w:jc w:val="center"/>
              <w:rPr>
                <w:rFonts w:cs="Calibri"/>
                <w:color w:val="000000"/>
                <w:sz w:val="20"/>
                <w:szCs w:val="20"/>
              </w:rPr>
            </w:pPr>
            <w:r w:rsidRPr="00D31067">
              <w:rPr>
                <w:rFonts w:cs="Calibri"/>
                <w:color w:val="000000"/>
                <w:sz w:val="20"/>
                <w:szCs w:val="20"/>
              </w:rPr>
              <w:t>1.35</w:t>
            </w:r>
          </w:p>
        </w:tc>
      </w:tr>
      <w:tr w:rsidR="00076AEA" w:rsidRPr="00D31067" w14:paraId="1076BF93" w14:textId="77777777" w:rsidTr="00076AEA">
        <w:trPr>
          <w:trHeight w:val="19"/>
          <w:jc w:val="center"/>
        </w:trPr>
        <w:tc>
          <w:tcPr>
            <w:tcW w:w="3120" w:type="dxa"/>
            <w:tcBorders>
              <w:top w:val="nil"/>
              <w:left w:val="single" w:sz="4" w:space="0" w:color="auto"/>
              <w:bottom w:val="single" w:sz="4" w:space="0" w:color="auto"/>
              <w:right w:val="single" w:sz="4" w:space="0" w:color="auto"/>
            </w:tcBorders>
            <w:shd w:val="clear" w:color="auto" w:fill="auto"/>
            <w:noWrap/>
            <w:vAlign w:val="center"/>
            <w:hideMark/>
          </w:tcPr>
          <w:p w14:paraId="05BCD856" w14:textId="3AAB0DF0" w:rsidR="00076AEA" w:rsidRPr="00D31067" w:rsidRDefault="00076AEA" w:rsidP="00182142">
            <w:pPr>
              <w:keepNext/>
              <w:rPr>
                <w:rFonts w:cs="Calibri"/>
                <w:color w:val="000000"/>
                <w:sz w:val="20"/>
                <w:szCs w:val="20"/>
              </w:rPr>
            </w:pPr>
            <w:r w:rsidRPr="00D31067">
              <w:rPr>
                <w:rFonts w:cs="Calibri"/>
                <w:color w:val="000000"/>
                <w:sz w:val="20"/>
                <w:szCs w:val="20"/>
              </w:rPr>
              <w:t>Per-</w:t>
            </w:r>
            <w:r>
              <w:rPr>
                <w:rFonts w:cs="Calibri"/>
                <w:color w:val="000000"/>
                <w:sz w:val="20"/>
                <w:szCs w:val="20"/>
              </w:rPr>
              <w:t>customer</w:t>
            </w:r>
            <w:r w:rsidRPr="00D31067">
              <w:rPr>
                <w:rFonts w:cs="Calibri"/>
                <w:color w:val="000000"/>
                <w:sz w:val="20"/>
                <w:szCs w:val="20"/>
              </w:rPr>
              <w:t xml:space="preserve"> load impact (kW</w:t>
            </w:r>
            <w:r>
              <w:rPr>
                <w:rFonts w:cs="Calibri"/>
                <w:color w:val="000000"/>
                <w:sz w:val="20"/>
                <w:szCs w:val="20"/>
              </w:rPr>
              <w:t>h/h</w:t>
            </w:r>
            <w:r w:rsidRPr="00D31067">
              <w:rPr>
                <w:rFonts w:cs="Calibri"/>
                <w:color w:val="000000"/>
                <w:sz w:val="20"/>
                <w:szCs w:val="20"/>
              </w:rPr>
              <w:t>)</w:t>
            </w:r>
          </w:p>
        </w:tc>
        <w:tc>
          <w:tcPr>
            <w:tcW w:w="1638" w:type="dxa"/>
            <w:tcBorders>
              <w:top w:val="nil"/>
              <w:left w:val="nil"/>
              <w:bottom w:val="single" w:sz="4" w:space="0" w:color="auto"/>
              <w:right w:val="single" w:sz="4" w:space="0" w:color="auto"/>
            </w:tcBorders>
            <w:shd w:val="clear" w:color="auto" w:fill="auto"/>
            <w:noWrap/>
            <w:vAlign w:val="center"/>
            <w:hideMark/>
          </w:tcPr>
          <w:p w14:paraId="38C41E61" w14:textId="77777777" w:rsidR="00076AEA" w:rsidRPr="00D31067" w:rsidRDefault="00076AEA" w:rsidP="00182142">
            <w:pPr>
              <w:keepNext/>
              <w:jc w:val="center"/>
              <w:rPr>
                <w:rFonts w:cs="Calibri"/>
                <w:color w:val="000000"/>
                <w:sz w:val="20"/>
                <w:szCs w:val="20"/>
              </w:rPr>
            </w:pPr>
            <w:r w:rsidRPr="00D31067">
              <w:rPr>
                <w:rFonts w:cs="Calibri"/>
                <w:color w:val="000000"/>
                <w:sz w:val="20"/>
                <w:szCs w:val="20"/>
              </w:rPr>
              <w:t>0.18</w:t>
            </w:r>
          </w:p>
        </w:tc>
        <w:tc>
          <w:tcPr>
            <w:tcW w:w="1517" w:type="dxa"/>
            <w:tcBorders>
              <w:top w:val="nil"/>
              <w:left w:val="nil"/>
              <w:bottom w:val="single" w:sz="4" w:space="0" w:color="auto"/>
              <w:right w:val="single" w:sz="4" w:space="0" w:color="auto"/>
            </w:tcBorders>
            <w:shd w:val="clear" w:color="auto" w:fill="auto"/>
            <w:noWrap/>
            <w:vAlign w:val="center"/>
            <w:hideMark/>
          </w:tcPr>
          <w:p w14:paraId="56CE3F7C" w14:textId="5C12005E" w:rsidR="00076AEA" w:rsidRPr="00D31067" w:rsidRDefault="00076AEA" w:rsidP="00182142">
            <w:pPr>
              <w:keepNext/>
              <w:jc w:val="center"/>
              <w:rPr>
                <w:rFonts w:cs="Calibri"/>
                <w:color w:val="000000"/>
                <w:sz w:val="20"/>
                <w:szCs w:val="20"/>
              </w:rPr>
            </w:pPr>
            <w:r>
              <w:rPr>
                <w:rFonts w:cs="Calibri"/>
                <w:color w:val="000000"/>
                <w:sz w:val="20"/>
                <w:szCs w:val="20"/>
              </w:rPr>
              <w:t>0.18</w:t>
            </w:r>
          </w:p>
        </w:tc>
        <w:tc>
          <w:tcPr>
            <w:tcW w:w="1433" w:type="dxa"/>
            <w:tcBorders>
              <w:top w:val="nil"/>
              <w:left w:val="nil"/>
              <w:bottom w:val="single" w:sz="4" w:space="0" w:color="auto"/>
              <w:right w:val="single" w:sz="4" w:space="0" w:color="auto"/>
            </w:tcBorders>
            <w:shd w:val="clear" w:color="auto" w:fill="auto"/>
            <w:noWrap/>
            <w:vAlign w:val="center"/>
            <w:hideMark/>
          </w:tcPr>
          <w:p w14:paraId="4166667E" w14:textId="77777777" w:rsidR="00076AEA" w:rsidRPr="00D31067" w:rsidRDefault="00076AEA" w:rsidP="00182142">
            <w:pPr>
              <w:keepNext/>
              <w:jc w:val="center"/>
              <w:rPr>
                <w:rFonts w:cs="Calibri"/>
                <w:color w:val="000000"/>
                <w:sz w:val="20"/>
                <w:szCs w:val="20"/>
              </w:rPr>
            </w:pPr>
            <w:r w:rsidRPr="00D31067">
              <w:rPr>
                <w:rFonts w:cs="Calibri"/>
                <w:color w:val="000000"/>
                <w:sz w:val="20"/>
                <w:szCs w:val="20"/>
              </w:rPr>
              <w:t>0.15</w:t>
            </w:r>
          </w:p>
        </w:tc>
      </w:tr>
      <w:tr w:rsidR="00076AEA" w:rsidRPr="00D31067" w14:paraId="38F0B3E2" w14:textId="77777777" w:rsidTr="00076AEA">
        <w:trPr>
          <w:trHeight w:val="19"/>
          <w:jc w:val="center"/>
        </w:trPr>
        <w:tc>
          <w:tcPr>
            <w:tcW w:w="3120" w:type="dxa"/>
            <w:tcBorders>
              <w:top w:val="nil"/>
              <w:left w:val="single" w:sz="4" w:space="0" w:color="auto"/>
              <w:bottom w:val="single" w:sz="4" w:space="0" w:color="auto"/>
              <w:right w:val="single" w:sz="4" w:space="0" w:color="auto"/>
            </w:tcBorders>
            <w:shd w:val="clear" w:color="auto" w:fill="auto"/>
            <w:noWrap/>
            <w:vAlign w:val="center"/>
            <w:hideMark/>
          </w:tcPr>
          <w:p w14:paraId="3A3954CC" w14:textId="77777777" w:rsidR="00076AEA" w:rsidRPr="00D31067" w:rsidRDefault="00076AEA" w:rsidP="00182142">
            <w:pPr>
              <w:keepNext/>
              <w:rPr>
                <w:rFonts w:cs="Calibri"/>
                <w:color w:val="000000"/>
                <w:sz w:val="20"/>
                <w:szCs w:val="20"/>
              </w:rPr>
            </w:pPr>
            <w:r w:rsidRPr="00D31067">
              <w:rPr>
                <w:rFonts w:cs="Calibri"/>
                <w:color w:val="000000"/>
                <w:sz w:val="20"/>
                <w:szCs w:val="20"/>
              </w:rPr>
              <w:t>% Load Impact</w:t>
            </w:r>
          </w:p>
        </w:tc>
        <w:tc>
          <w:tcPr>
            <w:tcW w:w="1638" w:type="dxa"/>
            <w:tcBorders>
              <w:top w:val="nil"/>
              <w:left w:val="nil"/>
              <w:bottom w:val="single" w:sz="4" w:space="0" w:color="auto"/>
              <w:right w:val="single" w:sz="4" w:space="0" w:color="auto"/>
            </w:tcBorders>
            <w:shd w:val="clear" w:color="auto" w:fill="auto"/>
            <w:noWrap/>
            <w:vAlign w:val="center"/>
            <w:hideMark/>
          </w:tcPr>
          <w:p w14:paraId="4476D87F" w14:textId="77777777" w:rsidR="00076AEA" w:rsidRPr="00D31067" w:rsidRDefault="00076AEA" w:rsidP="00182142">
            <w:pPr>
              <w:keepNext/>
              <w:jc w:val="center"/>
              <w:rPr>
                <w:rFonts w:cs="Calibri"/>
                <w:color w:val="000000"/>
                <w:sz w:val="20"/>
                <w:szCs w:val="20"/>
              </w:rPr>
            </w:pPr>
            <w:r w:rsidRPr="00D31067">
              <w:rPr>
                <w:rFonts w:cs="Calibri"/>
                <w:color w:val="000000"/>
                <w:sz w:val="20"/>
                <w:szCs w:val="20"/>
              </w:rPr>
              <w:t>13.38%</w:t>
            </w:r>
          </w:p>
        </w:tc>
        <w:tc>
          <w:tcPr>
            <w:tcW w:w="1517" w:type="dxa"/>
            <w:tcBorders>
              <w:top w:val="nil"/>
              <w:left w:val="nil"/>
              <w:bottom w:val="single" w:sz="4" w:space="0" w:color="auto"/>
              <w:right w:val="single" w:sz="4" w:space="0" w:color="auto"/>
            </w:tcBorders>
            <w:shd w:val="clear" w:color="auto" w:fill="auto"/>
            <w:noWrap/>
            <w:vAlign w:val="center"/>
            <w:hideMark/>
          </w:tcPr>
          <w:p w14:paraId="1E5C576E" w14:textId="44FBFDA8" w:rsidR="00076AEA" w:rsidRPr="00D31067" w:rsidRDefault="00076AEA" w:rsidP="00182142">
            <w:pPr>
              <w:keepNext/>
              <w:jc w:val="center"/>
              <w:rPr>
                <w:rFonts w:cs="Calibri"/>
                <w:color w:val="000000"/>
                <w:sz w:val="20"/>
                <w:szCs w:val="20"/>
              </w:rPr>
            </w:pPr>
            <w:r>
              <w:rPr>
                <w:rFonts w:cs="Calibri"/>
                <w:color w:val="000000"/>
                <w:sz w:val="20"/>
                <w:szCs w:val="20"/>
              </w:rPr>
              <w:t>13.35%</w:t>
            </w:r>
          </w:p>
        </w:tc>
        <w:tc>
          <w:tcPr>
            <w:tcW w:w="1433" w:type="dxa"/>
            <w:tcBorders>
              <w:top w:val="nil"/>
              <w:left w:val="nil"/>
              <w:bottom w:val="single" w:sz="4" w:space="0" w:color="auto"/>
              <w:right w:val="single" w:sz="4" w:space="0" w:color="auto"/>
            </w:tcBorders>
            <w:shd w:val="clear" w:color="auto" w:fill="auto"/>
            <w:noWrap/>
            <w:vAlign w:val="center"/>
            <w:hideMark/>
          </w:tcPr>
          <w:p w14:paraId="5792E1E3" w14:textId="77777777" w:rsidR="00076AEA" w:rsidRPr="00D31067" w:rsidRDefault="00076AEA" w:rsidP="00182142">
            <w:pPr>
              <w:keepNext/>
              <w:jc w:val="center"/>
              <w:rPr>
                <w:rFonts w:cs="Calibri"/>
                <w:color w:val="000000"/>
                <w:sz w:val="20"/>
                <w:szCs w:val="20"/>
              </w:rPr>
            </w:pPr>
            <w:r w:rsidRPr="00D31067">
              <w:rPr>
                <w:rFonts w:cs="Calibri"/>
                <w:color w:val="000000"/>
                <w:sz w:val="20"/>
                <w:szCs w:val="20"/>
              </w:rPr>
              <w:t>11.39%</w:t>
            </w:r>
          </w:p>
        </w:tc>
      </w:tr>
      <w:tr w:rsidR="00076AEA" w:rsidRPr="00D31067" w14:paraId="439DC586" w14:textId="77777777" w:rsidTr="00076AEA">
        <w:trPr>
          <w:trHeight w:val="19"/>
          <w:jc w:val="center"/>
        </w:trPr>
        <w:tc>
          <w:tcPr>
            <w:tcW w:w="3120" w:type="dxa"/>
            <w:tcBorders>
              <w:top w:val="nil"/>
              <w:left w:val="single" w:sz="4" w:space="0" w:color="auto"/>
              <w:bottom w:val="single" w:sz="4" w:space="0" w:color="auto"/>
              <w:right w:val="single" w:sz="4" w:space="0" w:color="auto"/>
            </w:tcBorders>
            <w:shd w:val="clear" w:color="auto" w:fill="auto"/>
            <w:noWrap/>
            <w:vAlign w:val="center"/>
            <w:hideMark/>
          </w:tcPr>
          <w:p w14:paraId="5CD0BF41" w14:textId="77777777" w:rsidR="00076AEA" w:rsidRPr="00D31067" w:rsidRDefault="00076AEA" w:rsidP="00182142">
            <w:pPr>
              <w:keepNext/>
              <w:rPr>
                <w:rFonts w:cs="Calibri"/>
                <w:color w:val="000000"/>
                <w:sz w:val="20"/>
                <w:szCs w:val="20"/>
              </w:rPr>
            </w:pPr>
            <w:r w:rsidRPr="00D31067">
              <w:rPr>
                <w:rFonts w:cs="Calibri"/>
                <w:color w:val="000000"/>
                <w:sz w:val="20"/>
                <w:szCs w:val="20"/>
              </w:rPr>
              <w:t>Temperature</w:t>
            </w:r>
          </w:p>
        </w:tc>
        <w:tc>
          <w:tcPr>
            <w:tcW w:w="1638" w:type="dxa"/>
            <w:tcBorders>
              <w:top w:val="nil"/>
              <w:left w:val="nil"/>
              <w:bottom w:val="single" w:sz="4" w:space="0" w:color="auto"/>
              <w:right w:val="single" w:sz="4" w:space="0" w:color="auto"/>
            </w:tcBorders>
            <w:shd w:val="clear" w:color="auto" w:fill="auto"/>
            <w:noWrap/>
            <w:vAlign w:val="center"/>
            <w:hideMark/>
          </w:tcPr>
          <w:p w14:paraId="4F45F6A1" w14:textId="77777777" w:rsidR="00076AEA" w:rsidRPr="00D31067" w:rsidRDefault="00076AEA" w:rsidP="00182142">
            <w:pPr>
              <w:keepNext/>
              <w:jc w:val="center"/>
              <w:rPr>
                <w:rFonts w:cs="Calibri"/>
                <w:color w:val="000000"/>
                <w:sz w:val="20"/>
                <w:szCs w:val="20"/>
              </w:rPr>
            </w:pPr>
            <w:r w:rsidRPr="00D31067">
              <w:rPr>
                <w:rFonts w:cs="Calibri"/>
                <w:color w:val="000000"/>
                <w:sz w:val="20"/>
                <w:szCs w:val="20"/>
              </w:rPr>
              <w:t>91.6</w:t>
            </w:r>
          </w:p>
        </w:tc>
        <w:tc>
          <w:tcPr>
            <w:tcW w:w="1517" w:type="dxa"/>
            <w:tcBorders>
              <w:top w:val="nil"/>
              <w:left w:val="nil"/>
              <w:bottom w:val="single" w:sz="4" w:space="0" w:color="auto"/>
              <w:right w:val="single" w:sz="4" w:space="0" w:color="auto"/>
            </w:tcBorders>
            <w:shd w:val="clear" w:color="auto" w:fill="auto"/>
            <w:noWrap/>
            <w:vAlign w:val="center"/>
            <w:hideMark/>
          </w:tcPr>
          <w:p w14:paraId="4A136C68" w14:textId="2A6AA721" w:rsidR="00076AEA" w:rsidRPr="00D31067" w:rsidRDefault="00076AEA" w:rsidP="00182142">
            <w:pPr>
              <w:keepNext/>
              <w:jc w:val="center"/>
              <w:rPr>
                <w:rFonts w:cs="Calibri"/>
                <w:color w:val="000000"/>
                <w:sz w:val="20"/>
                <w:szCs w:val="20"/>
              </w:rPr>
            </w:pPr>
            <w:r>
              <w:rPr>
                <w:rFonts w:cs="Calibri"/>
                <w:color w:val="000000"/>
                <w:sz w:val="20"/>
                <w:szCs w:val="20"/>
              </w:rPr>
              <w:t>87.1</w:t>
            </w:r>
          </w:p>
        </w:tc>
        <w:tc>
          <w:tcPr>
            <w:tcW w:w="1433" w:type="dxa"/>
            <w:tcBorders>
              <w:top w:val="nil"/>
              <w:left w:val="nil"/>
              <w:bottom w:val="single" w:sz="4" w:space="0" w:color="auto"/>
              <w:right w:val="single" w:sz="4" w:space="0" w:color="auto"/>
            </w:tcBorders>
            <w:shd w:val="clear" w:color="auto" w:fill="auto"/>
            <w:noWrap/>
            <w:vAlign w:val="center"/>
            <w:hideMark/>
          </w:tcPr>
          <w:p w14:paraId="6632BD87" w14:textId="77777777" w:rsidR="00076AEA" w:rsidRPr="00D31067" w:rsidRDefault="00076AEA" w:rsidP="00182142">
            <w:pPr>
              <w:keepNext/>
              <w:jc w:val="center"/>
              <w:rPr>
                <w:rFonts w:cs="Calibri"/>
                <w:color w:val="000000"/>
                <w:sz w:val="20"/>
                <w:szCs w:val="20"/>
              </w:rPr>
            </w:pPr>
            <w:r w:rsidRPr="00D31067">
              <w:rPr>
                <w:rFonts w:cs="Calibri"/>
                <w:color w:val="000000"/>
                <w:sz w:val="20"/>
                <w:szCs w:val="20"/>
              </w:rPr>
              <w:t>87.6</w:t>
            </w:r>
          </w:p>
        </w:tc>
      </w:tr>
    </w:tbl>
    <w:p w14:paraId="6230E64A" w14:textId="77777777" w:rsidR="00D31067" w:rsidRDefault="00D31067" w:rsidP="00182142"/>
    <w:p w14:paraId="57935068" w14:textId="72F9D8DF" w:rsidR="002A561C" w:rsidRDefault="00076AEA" w:rsidP="00095AB1">
      <w:pPr>
        <w:spacing w:after="120"/>
      </w:pPr>
      <w:r>
        <w:t>Table 7.5</w:t>
      </w:r>
      <w:r w:rsidR="002A561C">
        <w:t xml:space="preserve"> compares the key components of the two analyses. As the table describes, the two largest sources of differences between the </w:t>
      </w:r>
      <w:r w:rsidR="002A561C" w:rsidRPr="00965501">
        <w:rPr>
          <w:i/>
        </w:rPr>
        <w:t>ex-post</w:t>
      </w:r>
      <w:r w:rsidR="002A561C">
        <w:t xml:space="preserve"> and </w:t>
      </w:r>
      <w:r w:rsidR="002A561C" w:rsidRPr="00965501">
        <w:rPr>
          <w:i/>
        </w:rPr>
        <w:t>ex-ante</w:t>
      </w:r>
      <w:r w:rsidR="002A561C">
        <w:t xml:space="preserve"> load impacts are the enrollment level and the summary over the RA window for </w:t>
      </w:r>
      <w:r w:rsidR="002A561C" w:rsidRPr="00965501">
        <w:rPr>
          <w:i/>
        </w:rPr>
        <w:t>ex-ante</w:t>
      </w:r>
      <w:r w:rsidR="002A561C">
        <w:t xml:space="preserve"> versus the actual event hours for the </w:t>
      </w:r>
      <w:r w:rsidR="002A561C" w:rsidRPr="00965501">
        <w:rPr>
          <w:i/>
        </w:rPr>
        <w:t>ex-post</w:t>
      </w:r>
      <w:r w:rsidR="002A561C">
        <w:t xml:space="preserve"> impacts.</w:t>
      </w:r>
    </w:p>
    <w:p w14:paraId="49808CCF" w14:textId="3080E4FD" w:rsidR="002A561C" w:rsidRDefault="002A561C" w:rsidP="00095AB1">
      <w:pPr>
        <w:spacing w:after="120"/>
      </w:pPr>
    </w:p>
    <w:p w14:paraId="5BDD9BB8" w14:textId="008239F0" w:rsidR="00D81CEB" w:rsidRDefault="00D81CEB" w:rsidP="00095AB1">
      <w:pPr>
        <w:spacing w:after="120"/>
      </w:pPr>
    </w:p>
    <w:p w14:paraId="34EDDA35" w14:textId="77777777" w:rsidR="00D81CEB" w:rsidRPr="00D81CEB" w:rsidRDefault="00D81CEB" w:rsidP="00095AB1">
      <w:pPr>
        <w:spacing w:after="120"/>
      </w:pPr>
    </w:p>
    <w:p w14:paraId="51E80E21" w14:textId="2F84F0D9" w:rsidR="002A561C" w:rsidRDefault="002A561C" w:rsidP="009A76C1">
      <w:pPr>
        <w:pStyle w:val="TableCaption"/>
        <w:keepNext/>
        <w:keepLines/>
      </w:pPr>
      <w:bookmarkStart w:id="123" w:name="_Toc383598019"/>
      <w:bookmarkStart w:id="124" w:name="_Toc413421782"/>
      <w:bookmarkStart w:id="125" w:name="_Toc413660628"/>
      <w:bookmarkStart w:id="126" w:name="_Toc509576805"/>
      <w:r w:rsidRPr="00726438">
        <w:t xml:space="preserve">Table </w:t>
      </w:r>
      <w:r w:rsidR="0043336D">
        <w:t>7</w:t>
      </w:r>
      <w:r w:rsidRPr="00726438">
        <w:t>.</w:t>
      </w:r>
      <w:r w:rsidR="00076AEA">
        <w:t>5</w:t>
      </w:r>
      <w:r w:rsidRPr="00726438">
        <w:t xml:space="preserve">: </w:t>
      </w:r>
      <w:r w:rsidRPr="002B3851">
        <w:rPr>
          <w:i/>
        </w:rPr>
        <w:t>Ex-</w:t>
      </w:r>
      <w:r w:rsidR="0023738E">
        <w:rPr>
          <w:i/>
        </w:rPr>
        <w:t>P</w:t>
      </w:r>
      <w:r w:rsidRPr="002B3851">
        <w:rPr>
          <w:i/>
        </w:rPr>
        <w:t>ost</w:t>
      </w:r>
      <w:r w:rsidRPr="00726438">
        <w:t xml:space="preserve"> versus </w:t>
      </w:r>
      <w:r w:rsidRPr="002B3851">
        <w:rPr>
          <w:i/>
        </w:rPr>
        <w:t>Ex-</w:t>
      </w:r>
      <w:r w:rsidR="0023738E">
        <w:rPr>
          <w:i/>
        </w:rPr>
        <w:t>A</w:t>
      </w:r>
      <w:r w:rsidRPr="002B3851">
        <w:rPr>
          <w:i/>
        </w:rPr>
        <w:t>nte</w:t>
      </w:r>
      <w:r w:rsidRPr="00726438">
        <w:t xml:space="preserve"> Factors</w:t>
      </w:r>
      <w:bookmarkEnd w:id="123"/>
      <w:bookmarkEnd w:id="124"/>
      <w:bookmarkEnd w:id="125"/>
      <w:r>
        <w:t xml:space="preserve">, </w:t>
      </w:r>
      <w:r w:rsidR="005E5D58" w:rsidRPr="00D87BC7">
        <w:rPr>
          <w:i/>
        </w:rPr>
        <w:t>CPP</w:t>
      </w:r>
      <w:r w:rsidRPr="00D87BC7">
        <w:rPr>
          <w:i/>
        </w:rPr>
        <w:t xml:space="preserve"> </w:t>
      </w:r>
      <w:r w:rsidR="00F65C0E" w:rsidRPr="00D87BC7">
        <w:rPr>
          <w:i/>
        </w:rPr>
        <w:t>Event</w:t>
      </w:r>
      <w:bookmarkEnd w:id="126"/>
    </w:p>
    <w:tbl>
      <w:tblPr>
        <w:tblW w:w="9240" w:type="dxa"/>
        <w:tblInd w:w="113" w:type="dxa"/>
        <w:tblLook w:val="04A0" w:firstRow="1" w:lastRow="0" w:firstColumn="1" w:lastColumn="0" w:noHBand="0" w:noVBand="1"/>
      </w:tblPr>
      <w:tblGrid>
        <w:gridCol w:w="1460"/>
        <w:gridCol w:w="2652"/>
        <w:gridCol w:w="2708"/>
        <w:gridCol w:w="2420"/>
      </w:tblGrid>
      <w:tr w:rsidR="00147B5E" w:rsidRPr="00147B5E" w14:paraId="6726C8FF" w14:textId="77777777" w:rsidTr="0010027E">
        <w:trPr>
          <w:cantSplit/>
          <w:trHeight w:val="300"/>
        </w:trPr>
        <w:tc>
          <w:tcPr>
            <w:tcW w:w="1460" w:type="dxa"/>
            <w:tcBorders>
              <w:top w:val="single" w:sz="4" w:space="0" w:color="auto"/>
              <w:left w:val="single" w:sz="4" w:space="0" w:color="auto"/>
              <w:bottom w:val="single" w:sz="4" w:space="0" w:color="auto"/>
              <w:right w:val="nil"/>
            </w:tcBorders>
            <w:shd w:val="clear" w:color="auto" w:fill="0C2577"/>
            <w:vAlign w:val="center"/>
            <w:hideMark/>
          </w:tcPr>
          <w:p w14:paraId="38A80558" w14:textId="77777777" w:rsidR="00147B5E" w:rsidRPr="00147B5E" w:rsidRDefault="00147B5E" w:rsidP="00147B5E">
            <w:pPr>
              <w:keepNext/>
              <w:jc w:val="center"/>
              <w:rPr>
                <w:rFonts w:ascii="Arial" w:hAnsi="Arial" w:cs="Arial"/>
                <w:b/>
                <w:bCs/>
                <w:color w:val="FFFFFF"/>
                <w:sz w:val="20"/>
                <w:szCs w:val="20"/>
              </w:rPr>
            </w:pPr>
            <w:r w:rsidRPr="00147B5E">
              <w:rPr>
                <w:rFonts w:ascii="Arial" w:hAnsi="Arial" w:cs="Arial"/>
                <w:b/>
                <w:bCs/>
                <w:color w:val="FFFFFF"/>
                <w:sz w:val="20"/>
                <w:szCs w:val="20"/>
              </w:rPr>
              <w:t>Factor</w:t>
            </w:r>
          </w:p>
        </w:tc>
        <w:tc>
          <w:tcPr>
            <w:tcW w:w="2652" w:type="dxa"/>
            <w:tcBorders>
              <w:top w:val="single" w:sz="4" w:space="0" w:color="auto"/>
              <w:left w:val="single" w:sz="4" w:space="0" w:color="FFFFFF"/>
              <w:bottom w:val="single" w:sz="4" w:space="0" w:color="auto"/>
              <w:right w:val="nil"/>
            </w:tcBorders>
            <w:shd w:val="clear" w:color="auto" w:fill="0C2577"/>
            <w:vAlign w:val="center"/>
            <w:hideMark/>
          </w:tcPr>
          <w:p w14:paraId="20E1CEBF" w14:textId="77777777" w:rsidR="00147B5E" w:rsidRPr="00147B5E" w:rsidRDefault="00147B5E" w:rsidP="00147B5E">
            <w:pPr>
              <w:keepNext/>
              <w:jc w:val="center"/>
              <w:rPr>
                <w:rFonts w:ascii="Arial" w:hAnsi="Arial" w:cs="Arial"/>
                <w:b/>
                <w:bCs/>
                <w:i/>
                <w:iCs/>
                <w:color w:val="FFFFFF"/>
                <w:sz w:val="20"/>
                <w:szCs w:val="20"/>
              </w:rPr>
            </w:pPr>
            <w:r w:rsidRPr="00147B5E">
              <w:rPr>
                <w:rFonts w:ascii="Arial" w:hAnsi="Arial" w:cs="Arial"/>
                <w:b/>
                <w:bCs/>
                <w:i/>
                <w:iCs/>
                <w:color w:val="FFFFFF"/>
                <w:sz w:val="20"/>
                <w:szCs w:val="20"/>
              </w:rPr>
              <w:t>Ex-Post</w:t>
            </w:r>
          </w:p>
        </w:tc>
        <w:tc>
          <w:tcPr>
            <w:tcW w:w="2708" w:type="dxa"/>
            <w:tcBorders>
              <w:top w:val="single" w:sz="4" w:space="0" w:color="auto"/>
              <w:left w:val="single" w:sz="4" w:space="0" w:color="FFFFFF"/>
              <w:bottom w:val="single" w:sz="4" w:space="0" w:color="auto"/>
              <w:right w:val="single" w:sz="4" w:space="0" w:color="FFFFFF"/>
            </w:tcBorders>
            <w:shd w:val="clear" w:color="auto" w:fill="0C2577"/>
            <w:vAlign w:val="center"/>
            <w:hideMark/>
          </w:tcPr>
          <w:p w14:paraId="11C53DB2" w14:textId="77777777" w:rsidR="00147B5E" w:rsidRPr="00147B5E" w:rsidRDefault="00147B5E" w:rsidP="00147B5E">
            <w:pPr>
              <w:keepNext/>
              <w:jc w:val="center"/>
              <w:rPr>
                <w:rFonts w:ascii="Arial" w:hAnsi="Arial" w:cs="Arial"/>
                <w:b/>
                <w:bCs/>
                <w:i/>
                <w:iCs/>
                <w:color w:val="FFFFFF"/>
                <w:sz w:val="20"/>
                <w:szCs w:val="20"/>
              </w:rPr>
            </w:pPr>
            <w:r w:rsidRPr="00147B5E">
              <w:rPr>
                <w:rFonts w:ascii="Arial" w:hAnsi="Arial" w:cs="Arial"/>
                <w:b/>
                <w:bCs/>
                <w:i/>
                <w:iCs/>
                <w:color w:val="FFFFFF"/>
                <w:sz w:val="20"/>
                <w:szCs w:val="20"/>
              </w:rPr>
              <w:t>Ex-Ante</w:t>
            </w:r>
          </w:p>
        </w:tc>
        <w:tc>
          <w:tcPr>
            <w:tcW w:w="2420" w:type="dxa"/>
            <w:tcBorders>
              <w:top w:val="single" w:sz="4" w:space="0" w:color="auto"/>
              <w:left w:val="nil"/>
              <w:bottom w:val="single" w:sz="4" w:space="0" w:color="auto"/>
              <w:right w:val="single" w:sz="4" w:space="0" w:color="auto"/>
            </w:tcBorders>
            <w:shd w:val="clear" w:color="auto" w:fill="0C2577"/>
            <w:vAlign w:val="center"/>
            <w:hideMark/>
          </w:tcPr>
          <w:p w14:paraId="56DC9401" w14:textId="77777777" w:rsidR="00147B5E" w:rsidRPr="00147B5E" w:rsidRDefault="00147B5E" w:rsidP="00147B5E">
            <w:pPr>
              <w:keepNext/>
              <w:jc w:val="center"/>
              <w:rPr>
                <w:rFonts w:ascii="Arial" w:hAnsi="Arial" w:cs="Arial"/>
                <w:b/>
                <w:bCs/>
                <w:color w:val="FFFFFF"/>
                <w:sz w:val="20"/>
                <w:szCs w:val="20"/>
              </w:rPr>
            </w:pPr>
            <w:r w:rsidRPr="00147B5E">
              <w:rPr>
                <w:rFonts w:ascii="Arial" w:hAnsi="Arial" w:cs="Arial"/>
                <w:b/>
                <w:bCs/>
                <w:color w:val="FFFFFF"/>
                <w:sz w:val="20"/>
                <w:szCs w:val="20"/>
              </w:rPr>
              <w:t>Expected Impact</w:t>
            </w:r>
          </w:p>
        </w:tc>
      </w:tr>
      <w:tr w:rsidR="00147B5E" w:rsidRPr="00147B5E" w14:paraId="7D3E8327" w14:textId="77777777" w:rsidTr="00182142">
        <w:trPr>
          <w:cantSplit/>
          <w:trHeight w:val="1275"/>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55F9C849" w14:textId="77777777" w:rsidR="00147B5E" w:rsidRPr="00147B5E" w:rsidRDefault="00147B5E" w:rsidP="00147B5E">
            <w:pPr>
              <w:keepNext/>
              <w:rPr>
                <w:rFonts w:ascii="Arial" w:hAnsi="Arial" w:cs="Arial"/>
                <w:color w:val="000000"/>
                <w:sz w:val="20"/>
                <w:szCs w:val="20"/>
              </w:rPr>
            </w:pPr>
            <w:r w:rsidRPr="00147B5E">
              <w:rPr>
                <w:rFonts w:ascii="Arial" w:hAnsi="Arial" w:cs="Arial"/>
                <w:color w:val="000000"/>
                <w:sz w:val="20"/>
                <w:szCs w:val="20"/>
              </w:rPr>
              <w:t>Weather</w:t>
            </w:r>
          </w:p>
        </w:tc>
        <w:tc>
          <w:tcPr>
            <w:tcW w:w="2652" w:type="dxa"/>
            <w:tcBorders>
              <w:top w:val="nil"/>
              <w:left w:val="nil"/>
              <w:bottom w:val="single" w:sz="4" w:space="0" w:color="auto"/>
              <w:right w:val="single" w:sz="4" w:space="0" w:color="auto"/>
            </w:tcBorders>
            <w:shd w:val="clear" w:color="auto" w:fill="auto"/>
            <w:vAlign w:val="center"/>
            <w:hideMark/>
          </w:tcPr>
          <w:p w14:paraId="6A8576B4" w14:textId="07355AC6" w:rsidR="00147B5E" w:rsidRPr="00147B5E" w:rsidRDefault="00147B5E" w:rsidP="00147B5E">
            <w:pPr>
              <w:keepNext/>
              <w:rPr>
                <w:rFonts w:ascii="Arial" w:hAnsi="Arial" w:cs="Arial"/>
                <w:color w:val="000000"/>
                <w:sz w:val="20"/>
                <w:szCs w:val="20"/>
              </w:rPr>
            </w:pPr>
            <w:r w:rsidRPr="00147B5E">
              <w:rPr>
                <w:rFonts w:ascii="Arial" w:hAnsi="Arial" w:cs="Arial"/>
                <w:color w:val="000000"/>
                <w:sz w:val="20"/>
                <w:szCs w:val="20"/>
              </w:rPr>
              <w:t>91.</w:t>
            </w:r>
            <w:r w:rsidR="004F15D6">
              <w:rPr>
                <w:rFonts w:ascii="Arial" w:hAnsi="Arial" w:cs="Arial"/>
                <w:color w:val="000000"/>
                <w:sz w:val="20"/>
                <w:szCs w:val="20"/>
              </w:rPr>
              <w:t>6</w:t>
            </w:r>
            <w:r w:rsidRPr="00147B5E">
              <w:rPr>
                <w:rFonts w:ascii="Arial" w:hAnsi="Arial" w:cs="Arial"/>
                <w:color w:val="000000"/>
                <w:sz w:val="20"/>
                <w:szCs w:val="20"/>
              </w:rPr>
              <w:t xml:space="preserve"> degrees Fahrenheit during HE 12-18.</w:t>
            </w:r>
          </w:p>
        </w:tc>
        <w:tc>
          <w:tcPr>
            <w:tcW w:w="2708" w:type="dxa"/>
            <w:tcBorders>
              <w:top w:val="nil"/>
              <w:left w:val="nil"/>
              <w:bottom w:val="single" w:sz="4" w:space="0" w:color="auto"/>
              <w:right w:val="single" w:sz="4" w:space="0" w:color="auto"/>
            </w:tcBorders>
            <w:shd w:val="clear" w:color="000000" w:fill="FFFFFF"/>
            <w:vAlign w:val="center"/>
            <w:hideMark/>
          </w:tcPr>
          <w:p w14:paraId="1D27BD98" w14:textId="18D9721E" w:rsidR="00147B5E" w:rsidRPr="00147B5E" w:rsidRDefault="004F15D6" w:rsidP="00147B5E">
            <w:pPr>
              <w:keepNext/>
              <w:rPr>
                <w:rFonts w:ascii="Arial" w:hAnsi="Arial" w:cs="Arial"/>
                <w:color w:val="000000"/>
                <w:sz w:val="20"/>
                <w:szCs w:val="20"/>
              </w:rPr>
            </w:pPr>
            <w:r>
              <w:rPr>
                <w:rFonts w:ascii="Arial" w:hAnsi="Arial" w:cs="Arial"/>
                <w:color w:val="000000"/>
                <w:sz w:val="20"/>
                <w:szCs w:val="20"/>
              </w:rPr>
              <w:t>87.6</w:t>
            </w:r>
            <w:r w:rsidR="00147B5E" w:rsidRPr="00147B5E">
              <w:rPr>
                <w:rFonts w:ascii="Arial" w:hAnsi="Arial" w:cs="Arial"/>
                <w:color w:val="000000"/>
                <w:sz w:val="20"/>
                <w:szCs w:val="20"/>
              </w:rPr>
              <w:t xml:space="preserve"> degrees Fahrenheit during HE 14-18 of a utility-specific 1-in-2 August peak day.</w:t>
            </w:r>
          </w:p>
        </w:tc>
        <w:tc>
          <w:tcPr>
            <w:tcW w:w="2420" w:type="dxa"/>
            <w:tcBorders>
              <w:top w:val="nil"/>
              <w:left w:val="nil"/>
              <w:bottom w:val="single" w:sz="4" w:space="0" w:color="auto"/>
              <w:right w:val="single" w:sz="4" w:space="0" w:color="auto"/>
            </w:tcBorders>
            <w:shd w:val="clear" w:color="000000" w:fill="FFFFFF"/>
            <w:vAlign w:val="center"/>
            <w:hideMark/>
          </w:tcPr>
          <w:p w14:paraId="18A140C5" w14:textId="2A593562" w:rsidR="00147B5E" w:rsidRPr="00147B5E" w:rsidRDefault="004F15D6" w:rsidP="00147B5E">
            <w:pPr>
              <w:keepNext/>
              <w:rPr>
                <w:rFonts w:ascii="Arial" w:hAnsi="Arial" w:cs="Arial"/>
                <w:color w:val="000000"/>
                <w:sz w:val="20"/>
                <w:szCs w:val="20"/>
              </w:rPr>
            </w:pPr>
            <w:r>
              <w:rPr>
                <w:rFonts w:ascii="Arial" w:hAnsi="Arial" w:cs="Arial"/>
                <w:color w:val="000000"/>
                <w:sz w:val="20"/>
                <w:szCs w:val="20"/>
              </w:rPr>
              <w:t>Cooler</w:t>
            </w:r>
            <w:r w:rsidRPr="00147B5E">
              <w:rPr>
                <w:rFonts w:ascii="Arial" w:hAnsi="Arial" w:cs="Arial"/>
                <w:color w:val="000000"/>
                <w:sz w:val="20"/>
                <w:szCs w:val="20"/>
              </w:rPr>
              <w:t xml:space="preserve"> </w:t>
            </w:r>
            <w:r w:rsidR="00147B5E" w:rsidRPr="00147B5E">
              <w:rPr>
                <w:rFonts w:ascii="Arial" w:hAnsi="Arial" w:cs="Arial"/>
                <w:i/>
                <w:iCs/>
                <w:color w:val="000000"/>
                <w:sz w:val="20"/>
                <w:szCs w:val="20"/>
              </w:rPr>
              <w:t>ex-</w:t>
            </w:r>
            <w:r>
              <w:rPr>
                <w:rFonts w:ascii="Arial" w:hAnsi="Arial" w:cs="Arial"/>
                <w:i/>
                <w:iCs/>
                <w:color w:val="000000"/>
                <w:sz w:val="20"/>
                <w:szCs w:val="20"/>
              </w:rPr>
              <w:t>ante</w:t>
            </w:r>
            <w:r w:rsidRPr="00147B5E">
              <w:rPr>
                <w:rFonts w:ascii="Arial" w:hAnsi="Arial" w:cs="Arial"/>
                <w:color w:val="000000"/>
                <w:sz w:val="20"/>
                <w:szCs w:val="20"/>
              </w:rPr>
              <w:t xml:space="preserve"> </w:t>
            </w:r>
            <w:r w:rsidR="00147B5E" w:rsidRPr="00147B5E">
              <w:rPr>
                <w:rFonts w:ascii="Arial" w:hAnsi="Arial" w:cs="Arial"/>
                <w:color w:val="000000"/>
                <w:sz w:val="20"/>
                <w:szCs w:val="20"/>
              </w:rPr>
              <w:t xml:space="preserve">weather </w:t>
            </w:r>
            <w:r>
              <w:rPr>
                <w:rFonts w:ascii="Arial" w:hAnsi="Arial" w:cs="Arial"/>
                <w:color w:val="000000"/>
                <w:sz w:val="20"/>
                <w:szCs w:val="20"/>
              </w:rPr>
              <w:t xml:space="preserve">decreases </w:t>
            </w:r>
            <w:r w:rsidR="00147B5E" w:rsidRPr="00147B5E">
              <w:rPr>
                <w:rFonts w:ascii="Arial" w:hAnsi="Arial" w:cs="Arial"/>
                <w:color w:val="000000"/>
                <w:sz w:val="20"/>
                <w:szCs w:val="20"/>
              </w:rPr>
              <w:t>the reference load and load impact.</w:t>
            </w:r>
          </w:p>
        </w:tc>
      </w:tr>
      <w:tr w:rsidR="00D63421" w:rsidRPr="00147B5E" w14:paraId="72C9B0C2" w14:textId="77777777" w:rsidTr="00182142">
        <w:trPr>
          <w:cantSplit/>
          <w:trHeight w:val="1935"/>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623A7B35" w14:textId="77777777" w:rsidR="00D63421" w:rsidRPr="00147B5E" w:rsidRDefault="00D63421" w:rsidP="00147B5E">
            <w:pPr>
              <w:keepNext/>
              <w:rPr>
                <w:rFonts w:ascii="Arial" w:hAnsi="Arial" w:cs="Arial"/>
                <w:color w:val="000000"/>
                <w:sz w:val="20"/>
                <w:szCs w:val="20"/>
              </w:rPr>
            </w:pPr>
            <w:r w:rsidRPr="00147B5E">
              <w:rPr>
                <w:rFonts w:ascii="Arial" w:hAnsi="Arial" w:cs="Arial"/>
                <w:color w:val="000000"/>
                <w:sz w:val="20"/>
                <w:szCs w:val="20"/>
              </w:rPr>
              <w:t>Event window</w:t>
            </w:r>
          </w:p>
        </w:tc>
        <w:tc>
          <w:tcPr>
            <w:tcW w:w="2652" w:type="dxa"/>
            <w:tcBorders>
              <w:top w:val="nil"/>
              <w:left w:val="single" w:sz="4" w:space="0" w:color="auto"/>
              <w:bottom w:val="single" w:sz="4" w:space="0" w:color="auto"/>
              <w:right w:val="single" w:sz="4" w:space="0" w:color="auto"/>
            </w:tcBorders>
            <w:shd w:val="clear" w:color="auto" w:fill="auto"/>
            <w:noWrap/>
            <w:vAlign w:val="center"/>
            <w:hideMark/>
          </w:tcPr>
          <w:p w14:paraId="78958CD2" w14:textId="7776D134" w:rsidR="00D63421" w:rsidRPr="00147B5E" w:rsidRDefault="00D63421" w:rsidP="00147B5E">
            <w:pPr>
              <w:keepNext/>
              <w:rPr>
                <w:rFonts w:ascii="Arial" w:hAnsi="Arial" w:cs="Arial"/>
                <w:color w:val="000000"/>
                <w:sz w:val="20"/>
                <w:szCs w:val="20"/>
              </w:rPr>
            </w:pPr>
            <w:r w:rsidRPr="00147B5E">
              <w:rPr>
                <w:rFonts w:ascii="Arial" w:hAnsi="Arial" w:cs="Arial"/>
                <w:color w:val="000000"/>
                <w:sz w:val="20"/>
                <w:szCs w:val="20"/>
              </w:rPr>
              <w:t xml:space="preserve">HE 12-18 for the </w:t>
            </w:r>
            <w:r w:rsidR="00894C5B">
              <w:rPr>
                <w:rFonts w:ascii="Arial" w:hAnsi="Arial" w:cs="Arial"/>
                <w:color w:val="000000"/>
                <w:sz w:val="20"/>
                <w:szCs w:val="20"/>
              </w:rPr>
              <w:t>average weekday</w:t>
            </w:r>
            <w:r w:rsidRPr="00147B5E">
              <w:rPr>
                <w:rFonts w:ascii="Arial" w:hAnsi="Arial" w:cs="Arial"/>
                <w:color w:val="000000"/>
                <w:sz w:val="20"/>
                <w:szCs w:val="20"/>
              </w:rPr>
              <w:t xml:space="preserve"> event.</w:t>
            </w:r>
          </w:p>
        </w:tc>
        <w:tc>
          <w:tcPr>
            <w:tcW w:w="2708" w:type="dxa"/>
            <w:tcBorders>
              <w:top w:val="single" w:sz="4" w:space="0" w:color="auto"/>
              <w:left w:val="nil"/>
              <w:bottom w:val="single" w:sz="4" w:space="0" w:color="auto"/>
              <w:right w:val="single" w:sz="4" w:space="0" w:color="auto"/>
            </w:tcBorders>
            <w:shd w:val="clear" w:color="000000" w:fill="FFFFFF"/>
            <w:vAlign w:val="center"/>
            <w:hideMark/>
          </w:tcPr>
          <w:p w14:paraId="0640A219" w14:textId="0C0F1AE4" w:rsidR="00D63421" w:rsidRPr="00147B5E" w:rsidRDefault="00D63421" w:rsidP="00147B5E">
            <w:pPr>
              <w:keepNext/>
              <w:rPr>
                <w:rFonts w:ascii="Arial" w:hAnsi="Arial" w:cs="Arial"/>
                <w:color w:val="000000"/>
                <w:sz w:val="20"/>
                <w:szCs w:val="20"/>
              </w:rPr>
            </w:pPr>
            <w:r>
              <w:rPr>
                <w:rFonts w:ascii="Arial" w:hAnsi="Arial" w:cs="Arial"/>
                <w:color w:val="000000"/>
                <w:sz w:val="20"/>
                <w:szCs w:val="20"/>
              </w:rPr>
              <w:t xml:space="preserve">RA Window: </w:t>
            </w:r>
            <w:r>
              <w:rPr>
                <w:rFonts w:ascii="Arial" w:hAnsi="Arial" w:cs="Arial"/>
                <w:color w:val="000000"/>
                <w:sz w:val="20"/>
                <w:szCs w:val="20"/>
              </w:rPr>
              <w:br/>
            </w:r>
            <w:r w:rsidRPr="00147B5E">
              <w:rPr>
                <w:rFonts w:ascii="Arial" w:hAnsi="Arial" w:cs="Arial"/>
                <w:color w:val="000000"/>
                <w:sz w:val="20"/>
                <w:szCs w:val="20"/>
              </w:rPr>
              <w:t>HE 1</w:t>
            </w:r>
            <w:r>
              <w:rPr>
                <w:rFonts w:ascii="Arial" w:hAnsi="Arial" w:cs="Arial"/>
                <w:color w:val="000000"/>
                <w:sz w:val="20"/>
                <w:szCs w:val="20"/>
              </w:rPr>
              <w:t>4</w:t>
            </w:r>
            <w:r w:rsidRPr="00147B5E">
              <w:rPr>
                <w:rFonts w:ascii="Arial" w:hAnsi="Arial" w:cs="Arial"/>
                <w:color w:val="000000"/>
                <w:sz w:val="20"/>
                <w:szCs w:val="20"/>
              </w:rPr>
              <w:t>-18 in Apr-Oct;</w:t>
            </w:r>
          </w:p>
          <w:p w14:paraId="78C411B6" w14:textId="0EF7A349" w:rsidR="00D63421" w:rsidRDefault="00D63421" w:rsidP="00147B5E">
            <w:pPr>
              <w:keepNext/>
              <w:rPr>
                <w:rFonts w:ascii="Arial" w:hAnsi="Arial" w:cs="Arial"/>
                <w:color w:val="000000"/>
                <w:sz w:val="20"/>
                <w:szCs w:val="20"/>
              </w:rPr>
            </w:pPr>
            <w:r w:rsidRPr="00147B5E">
              <w:rPr>
                <w:rFonts w:ascii="Arial" w:hAnsi="Arial" w:cs="Arial"/>
                <w:color w:val="000000"/>
                <w:sz w:val="20"/>
                <w:szCs w:val="20"/>
              </w:rPr>
              <w:t>HE 1</w:t>
            </w:r>
            <w:r>
              <w:rPr>
                <w:rFonts w:ascii="Arial" w:hAnsi="Arial" w:cs="Arial"/>
                <w:color w:val="000000"/>
                <w:sz w:val="20"/>
                <w:szCs w:val="20"/>
              </w:rPr>
              <w:t>7</w:t>
            </w:r>
            <w:r w:rsidRPr="00147B5E">
              <w:rPr>
                <w:rFonts w:ascii="Arial" w:hAnsi="Arial" w:cs="Arial"/>
                <w:color w:val="000000"/>
                <w:sz w:val="20"/>
                <w:szCs w:val="20"/>
              </w:rPr>
              <w:t>-</w:t>
            </w:r>
            <w:r>
              <w:rPr>
                <w:rFonts w:ascii="Arial" w:hAnsi="Arial" w:cs="Arial"/>
                <w:color w:val="000000"/>
                <w:sz w:val="20"/>
                <w:szCs w:val="20"/>
              </w:rPr>
              <w:t>21</w:t>
            </w:r>
            <w:r w:rsidRPr="00147B5E">
              <w:rPr>
                <w:rFonts w:ascii="Arial" w:hAnsi="Arial" w:cs="Arial"/>
                <w:color w:val="000000"/>
                <w:sz w:val="20"/>
                <w:szCs w:val="20"/>
              </w:rPr>
              <w:t xml:space="preserve"> in Nov-Ma</w:t>
            </w:r>
            <w:r>
              <w:rPr>
                <w:rFonts w:ascii="Arial" w:hAnsi="Arial" w:cs="Arial"/>
                <w:color w:val="000000"/>
                <w:sz w:val="20"/>
                <w:szCs w:val="20"/>
              </w:rPr>
              <w:t>r.</w:t>
            </w:r>
          </w:p>
          <w:p w14:paraId="1C485C10" w14:textId="11C41E7A" w:rsidR="00D63421" w:rsidRPr="00147B5E" w:rsidRDefault="00D63421" w:rsidP="00147B5E">
            <w:pPr>
              <w:keepNext/>
              <w:rPr>
                <w:rFonts w:ascii="Arial" w:hAnsi="Arial" w:cs="Arial"/>
                <w:color w:val="000000"/>
                <w:sz w:val="20"/>
                <w:szCs w:val="20"/>
              </w:rPr>
            </w:pPr>
            <w:r>
              <w:rPr>
                <w:rFonts w:ascii="Arial" w:hAnsi="Arial" w:cs="Arial"/>
                <w:color w:val="000000"/>
                <w:sz w:val="20"/>
                <w:szCs w:val="20"/>
              </w:rPr>
              <w:br/>
              <w:t>Event Window:</w:t>
            </w:r>
            <w:r>
              <w:rPr>
                <w:rFonts w:ascii="Arial" w:hAnsi="Arial" w:cs="Arial"/>
                <w:color w:val="000000"/>
                <w:sz w:val="20"/>
                <w:szCs w:val="20"/>
              </w:rPr>
              <w:br/>
              <w:t>HE 15-18.</w:t>
            </w:r>
          </w:p>
        </w:tc>
        <w:tc>
          <w:tcPr>
            <w:tcW w:w="2420" w:type="dxa"/>
            <w:tcBorders>
              <w:top w:val="nil"/>
              <w:left w:val="single" w:sz="4" w:space="0" w:color="auto"/>
              <w:bottom w:val="single" w:sz="4" w:space="0" w:color="auto"/>
              <w:right w:val="single" w:sz="4" w:space="0" w:color="auto"/>
            </w:tcBorders>
            <w:shd w:val="clear" w:color="000000" w:fill="FFFFFF"/>
            <w:vAlign w:val="center"/>
            <w:hideMark/>
          </w:tcPr>
          <w:p w14:paraId="1F008A63" w14:textId="209B2CA6" w:rsidR="00D63421" w:rsidRPr="00147B5E" w:rsidRDefault="00D63421" w:rsidP="00147B5E">
            <w:pPr>
              <w:keepNext/>
              <w:rPr>
                <w:rFonts w:ascii="Arial" w:hAnsi="Arial" w:cs="Arial"/>
                <w:color w:val="000000"/>
                <w:sz w:val="20"/>
                <w:szCs w:val="20"/>
              </w:rPr>
            </w:pPr>
            <w:r w:rsidRPr="00147B5E">
              <w:rPr>
                <w:rFonts w:ascii="Arial" w:hAnsi="Arial" w:cs="Arial"/>
                <w:color w:val="000000"/>
                <w:sz w:val="20"/>
                <w:szCs w:val="20"/>
              </w:rPr>
              <w:t xml:space="preserve">The RA window covers </w:t>
            </w:r>
            <w:r>
              <w:rPr>
                <w:rFonts w:ascii="Arial" w:hAnsi="Arial" w:cs="Arial"/>
                <w:color w:val="000000"/>
                <w:sz w:val="20"/>
                <w:szCs w:val="20"/>
              </w:rPr>
              <w:t>HE 14 which is no longer an event hour, resulting in a lower load impact over the RA window.</w:t>
            </w:r>
            <w:r w:rsidRPr="00147B5E">
              <w:rPr>
                <w:rFonts w:ascii="Arial" w:hAnsi="Arial" w:cs="Arial"/>
                <w:color w:val="000000"/>
                <w:sz w:val="20"/>
                <w:szCs w:val="20"/>
              </w:rPr>
              <w:t xml:space="preserve"> </w:t>
            </w:r>
          </w:p>
        </w:tc>
      </w:tr>
      <w:tr w:rsidR="00147B5E" w:rsidRPr="00147B5E" w14:paraId="760E0306" w14:textId="77777777" w:rsidTr="00182142">
        <w:trPr>
          <w:cantSplit/>
          <w:trHeight w:val="1020"/>
        </w:trPr>
        <w:tc>
          <w:tcPr>
            <w:tcW w:w="1460" w:type="dxa"/>
            <w:tcBorders>
              <w:top w:val="nil"/>
              <w:left w:val="single" w:sz="4" w:space="0" w:color="auto"/>
              <w:bottom w:val="single" w:sz="4" w:space="0" w:color="auto"/>
              <w:right w:val="single" w:sz="4" w:space="0" w:color="auto"/>
            </w:tcBorders>
            <w:shd w:val="clear" w:color="auto" w:fill="auto"/>
            <w:vAlign w:val="center"/>
            <w:hideMark/>
          </w:tcPr>
          <w:p w14:paraId="03E7B8C5" w14:textId="77777777" w:rsidR="00147B5E" w:rsidRPr="00147B5E" w:rsidRDefault="00147B5E" w:rsidP="00147B5E">
            <w:pPr>
              <w:keepNext/>
              <w:rPr>
                <w:rFonts w:ascii="Arial" w:hAnsi="Arial" w:cs="Arial"/>
                <w:color w:val="000000"/>
                <w:sz w:val="20"/>
                <w:szCs w:val="20"/>
              </w:rPr>
            </w:pPr>
            <w:r w:rsidRPr="00147B5E">
              <w:rPr>
                <w:rFonts w:ascii="Arial" w:hAnsi="Arial" w:cs="Arial"/>
                <w:color w:val="000000"/>
                <w:sz w:val="20"/>
                <w:szCs w:val="20"/>
              </w:rPr>
              <w:t>% of resource dispatched</w:t>
            </w:r>
          </w:p>
        </w:tc>
        <w:tc>
          <w:tcPr>
            <w:tcW w:w="2652" w:type="dxa"/>
            <w:tcBorders>
              <w:top w:val="nil"/>
              <w:left w:val="nil"/>
              <w:bottom w:val="single" w:sz="4" w:space="0" w:color="auto"/>
              <w:right w:val="single" w:sz="4" w:space="0" w:color="auto"/>
            </w:tcBorders>
            <w:shd w:val="clear" w:color="auto" w:fill="auto"/>
            <w:vAlign w:val="center"/>
            <w:hideMark/>
          </w:tcPr>
          <w:p w14:paraId="6BA814DC" w14:textId="369BD5CF" w:rsidR="00147B5E" w:rsidRPr="00147B5E" w:rsidRDefault="00147B5E" w:rsidP="00147B5E">
            <w:pPr>
              <w:keepNext/>
              <w:rPr>
                <w:rFonts w:ascii="Arial" w:hAnsi="Arial" w:cs="Arial"/>
                <w:color w:val="000000"/>
                <w:sz w:val="20"/>
                <w:szCs w:val="20"/>
              </w:rPr>
            </w:pPr>
            <w:r w:rsidRPr="00147B5E">
              <w:rPr>
                <w:rFonts w:ascii="Arial" w:hAnsi="Arial" w:cs="Arial"/>
                <w:color w:val="000000"/>
                <w:sz w:val="20"/>
                <w:szCs w:val="20"/>
              </w:rPr>
              <w:t>The entire program was dispatched on each of the days that comprise the</w:t>
            </w:r>
            <w:r w:rsidR="00894C5B">
              <w:rPr>
                <w:rFonts w:ascii="Arial" w:hAnsi="Arial" w:cs="Arial"/>
                <w:color w:val="000000"/>
                <w:sz w:val="20"/>
                <w:szCs w:val="20"/>
              </w:rPr>
              <w:t xml:space="preserve"> average weekday event</w:t>
            </w:r>
            <w:r w:rsidRPr="00147B5E">
              <w:rPr>
                <w:rFonts w:ascii="Arial" w:hAnsi="Arial" w:cs="Arial"/>
                <w:color w:val="000000"/>
                <w:sz w:val="20"/>
                <w:szCs w:val="20"/>
              </w:rPr>
              <w:t>.</w:t>
            </w:r>
          </w:p>
        </w:tc>
        <w:tc>
          <w:tcPr>
            <w:tcW w:w="2708" w:type="dxa"/>
            <w:tcBorders>
              <w:top w:val="single" w:sz="4" w:space="0" w:color="auto"/>
              <w:left w:val="nil"/>
              <w:bottom w:val="single" w:sz="4" w:space="0" w:color="auto"/>
              <w:right w:val="single" w:sz="4" w:space="0" w:color="auto"/>
            </w:tcBorders>
            <w:shd w:val="clear" w:color="000000" w:fill="FFFFFF"/>
            <w:vAlign w:val="center"/>
            <w:hideMark/>
          </w:tcPr>
          <w:p w14:paraId="2A353E13" w14:textId="77777777" w:rsidR="00147B5E" w:rsidRPr="00147B5E" w:rsidRDefault="00147B5E" w:rsidP="00147B5E">
            <w:pPr>
              <w:keepNext/>
              <w:rPr>
                <w:rFonts w:ascii="Arial" w:hAnsi="Arial" w:cs="Arial"/>
                <w:color w:val="000000"/>
                <w:sz w:val="20"/>
                <w:szCs w:val="20"/>
              </w:rPr>
            </w:pPr>
            <w:r w:rsidRPr="00147B5E">
              <w:rPr>
                <w:rFonts w:ascii="Arial" w:hAnsi="Arial" w:cs="Arial"/>
                <w:color w:val="000000"/>
                <w:sz w:val="20"/>
                <w:szCs w:val="20"/>
              </w:rPr>
              <w:t>Assume all customers are called.</w:t>
            </w:r>
          </w:p>
        </w:tc>
        <w:tc>
          <w:tcPr>
            <w:tcW w:w="2420" w:type="dxa"/>
            <w:tcBorders>
              <w:top w:val="nil"/>
              <w:left w:val="nil"/>
              <w:bottom w:val="single" w:sz="4" w:space="0" w:color="auto"/>
              <w:right w:val="single" w:sz="4" w:space="0" w:color="auto"/>
            </w:tcBorders>
            <w:shd w:val="clear" w:color="000000" w:fill="FFFFFF"/>
            <w:vAlign w:val="center"/>
            <w:hideMark/>
          </w:tcPr>
          <w:p w14:paraId="579B2602" w14:textId="77777777" w:rsidR="00147B5E" w:rsidRPr="00147B5E" w:rsidRDefault="00147B5E" w:rsidP="00147B5E">
            <w:pPr>
              <w:keepNext/>
              <w:rPr>
                <w:rFonts w:ascii="Arial" w:hAnsi="Arial" w:cs="Arial"/>
                <w:color w:val="000000"/>
                <w:sz w:val="20"/>
                <w:szCs w:val="20"/>
              </w:rPr>
            </w:pPr>
            <w:r w:rsidRPr="00147B5E">
              <w:rPr>
                <w:rFonts w:ascii="Arial" w:hAnsi="Arial" w:cs="Arial"/>
                <w:color w:val="000000"/>
                <w:sz w:val="20"/>
                <w:szCs w:val="20"/>
              </w:rPr>
              <w:t xml:space="preserve">None. The </w:t>
            </w:r>
            <w:r w:rsidRPr="00147B5E">
              <w:rPr>
                <w:rFonts w:ascii="Arial" w:hAnsi="Arial" w:cs="Arial"/>
                <w:i/>
                <w:iCs/>
                <w:color w:val="000000"/>
                <w:sz w:val="20"/>
                <w:szCs w:val="20"/>
              </w:rPr>
              <w:t>ex-ante</w:t>
            </w:r>
            <w:r w:rsidRPr="00147B5E">
              <w:rPr>
                <w:rFonts w:ascii="Arial" w:hAnsi="Arial" w:cs="Arial"/>
                <w:color w:val="000000"/>
                <w:sz w:val="20"/>
                <w:szCs w:val="20"/>
              </w:rPr>
              <w:t xml:space="preserve"> method assumes that all enrolled customers are dispatched.</w:t>
            </w:r>
          </w:p>
        </w:tc>
      </w:tr>
      <w:tr w:rsidR="00147B5E" w:rsidRPr="00147B5E" w14:paraId="0BD49C64" w14:textId="77777777" w:rsidTr="00182142">
        <w:trPr>
          <w:cantSplit/>
          <w:trHeight w:val="1275"/>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1296F764" w14:textId="77777777" w:rsidR="00147B5E" w:rsidRPr="00147B5E" w:rsidRDefault="00147B5E" w:rsidP="00147B5E">
            <w:pPr>
              <w:keepNext/>
              <w:rPr>
                <w:rFonts w:ascii="Arial" w:hAnsi="Arial" w:cs="Arial"/>
                <w:color w:val="000000"/>
                <w:sz w:val="20"/>
                <w:szCs w:val="20"/>
              </w:rPr>
            </w:pPr>
            <w:r w:rsidRPr="00147B5E">
              <w:rPr>
                <w:rFonts w:ascii="Arial" w:hAnsi="Arial" w:cs="Arial"/>
                <w:color w:val="000000"/>
                <w:sz w:val="20"/>
                <w:szCs w:val="20"/>
              </w:rPr>
              <w:t>Enrollment</w:t>
            </w:r>
          </w:p>
        </w:tc>
        <w:tc>
          <w:tcPr>
            <w:tcW w:w="2652" w:type="dxa"/>
            <w:tcBorders>
              <w:top w:val="nil"/>
              <w:left w:val="nil"/>
              <w:bottom w:val="single" w:sz="4" w:space="0" w:color="auto"/>
              <w:right w:val="single" w:sz="4" w:space="0" w:color="auto"/>
            </w:tcBorders>
            <w:shd w:val="clear" w:color="auto" w:fill="auto"/>
            <w:noWrap/>
            <w:vAlign w:val="center"/>
            <w:hideMark/>
          </w:tcPr>
          <w:p w14:paraId="449D74B2" w14:textId="77777777" w:rsidR="00147B5E" w:rsidRPr="00147B5E" w:rsidRDefault="00147B5E" w:rsidP="00147B5E">
            <w:pPr>
              <w:keepNext/>
              <w:rPr>
                <w:rFonts w:ascii="Arial" w:hAnsi="Arial" w:cs="Arial"/>
                <w:color w:val="000000"/>
                <w:sz w:val="20"/>
                <w:szCs w:val="20"/>
              </w:rPr>
            </w:pPr>
            <w:r w:rsidRPr="00147B5E">
              <w:rPr>
                <w:rFonts w:ascii="Arial" w:hAnsi="Arial" w:cs="Arial"/>
                <w:color w:val="000000"/>
                <w:sz w:val="20"/>
                <w:szCs w:val="20"/>
              </w:rPr>
              <w:t>4,935 customers enrolled.</w:t>
            </w:r>
          </w:p>
        </w:tc>
        <w:tc>
          <w:tcPr>
            <w:tcW w:w="2708" w:type="dxa"/>
            <w:tcBorders>
              <w:top w:val="nil"/>
              <w:left w:val="nil"/>
              <w:bottom w:val="single" w:sz="4" w:space="0" w:color="auto"/>
              <w:right w:val="single" w:sz="4" w:space="0" w:color="auto"/>
            </w:tcBorders>
            <w:shd w:val="clear" w:color="000000" w:fill="FFFFFF"/>
            <w:vAlign w:val="center"/>
            <w:hideMark/>
          </w:tcPr>
          <w:p w14:paraId="6792A16F" w14:textId="77777777" w:rsidR="00147B5E" w:rsidRPr="00147B5E" w:rsidRDefault="00147B5E" w:rsidP="00147B5E">
            <w:pPr>
              <w:keepNext/>
              <w:rPr>
                <w:rFonts w:ascii="Arial" w:hAnsi="Arial" w:cs="Arial"/>
                <w:color w:val="000000"/>
                <w:sz w:val="20"/>
                <w:szCs w:val="20"/>
              </w:rPr>
            </w:pPr>
            <w:r w:rsidRPr="00147B5E">
              <w:rPr>
                <w:rFonts w:ascii="Arial" w:hAnsi="Arial" w:cs="Arial"/>
                <w:color w:val="000000"/>
                <w:sz w:val="20"/>
                <w:szCs w:val="20"/>
              </w:rPr>
              <w:t>5,611 customers.</w:t>
            </w:r>
          </w:p>
        </w:tc>
        <w:tc>
          <w:tcPr>
            <w:tcW w:w="2420" w:type="dxa"/>
            <w:tcBorders>
              <w:top w:val="nil"/>
              <w:left w:val="nil"/>
              <w:bottom w:val="single" w:sz="4" w:space="0" w:color="auto"/>
              <w:right w:val="single" w:sz="4" w:space="0" w:color="auto"/>
            </w:tcBorders>
            <w:shd w:val="clear" w:color="000000" w:fill="FFFFFF"/>
            <w:vAlign w:val="center"/>
            <w:hideMark/>
          </w:tcPr>
          <w:p w14:paraId="7F48182E" w14:textId="77777777" w:rsidR="00147B5E" w:rsidRPr="00147B5E" w:rsidRDefault="00147B5E" w:rsidP="00147B5E">
            <w:pPr>
              <w:keepNext/>
              <w:rPr>
                <w:rFonts w:ascii="Arial" w:hAnsi="Arial" w:cs="Arial"/>
                <w:color w:val="000000"/>
                <w:sz w:val="20"/>
                <w:szCs w:val="20"/>
              </w:rPr>
            </w:pPr>
            <w:r w:rsidRPr="00147B5E">
              <w:rPr>
                <w:rFonts w:ascii="Arial" w:hAnsi="Arial" w:cs="Arial"/>
                <w:color w:val="000000"/>
                <w:sz w:val="20"/>
                <w:szCs w:val="20"/>
              </w:rPr>
              <w:t xml:space="preserve">The increase in </w:t>
            </w:r>
            <w:r w:rsidRPr="00147B5E">
              <w:rPr>
                <w:rFonts w:ascii="Arial" w:hAnsi="Arial" w:cs="Arial"/>
                <w:i/>
                <w:iCs/>
                <w:color w:val="000000"/>
                <w:sz w:val="20"/>
                <w:szCs w:val="20"/>
              </w:rPr>
              <w:t>ex-ante</w:t>
            </w:r>
            <w:r w:rsidRPr="00147B5E">
              <w:rPr>
                <w:rFonts w:ascii="Arial" w:hAnsi="Arial" w:cs="Arial"/>
                <w:color w:val="000000"/>
                <w:sz w:val="20"/>
                <w:szCs w:val="20"/>
              </w:rPr>
              <w:t xml:space="preserve"> enrollments increases the total load impact proportionately relative to </w:t>
            </w:r>
            <w:r w:rsidRPr="00147B5E">
              <w:rPr>
                <w:rFonts w:ascii="Arial" w:hAnsi="Arial" w:cs="Arial"/>
                <w:i/>
                <w:iCs/>
                <w:color w:val="000000"/>
                <w:sz w:val="20"/>
                <w:szCs w:val="20"/>
              </w:rPr>
              <w:t>ex-post</w:t>
            </w:r>
            <w:r w:rsidRPr="00147B5E">
              <w:rPr>
                <w:rFonts w:ascii="Arial" w:hAnsi="Arial" w:cs="Arial"/>
                <w:color w:val="000000"/>
                <w:sz w:val="20"/>
                <w:szCs w:val="20"/>
              </w:rPr>
              <w:t>.</w:t>
            </w:r>
          </w:p>
        </w:tc>
      </w:tr>
      <w:tr w:rsidR="00147B5E" w:rsidRPr="00147B5E" w14:paraId="673A1112" w14:textId="77777777" w:rsidTr="00182142">
        <w:trPr>
          <w:cantSplit/>
          <w:trHeight w:val="1275"/>
        </w:trPr>
        <w:tc>
          <w:tcPr>
            <w:tcW w:w="1460" w:type="dxa"/>
            <w:tcBorders>
              <w:top w:val="nil"/>
              <w:left w:val="single" w:sz="4" w:space="0" w:color="auto"/>
              <w:bottom w:val="single" w:sz="4" w:space="0" w:color="auto"/>
              <w:right w:val="single" w:sz="4" w:space="0" w:color="auto"/>
            </w:tcBorders>
            <w:shd w:val="clear" w:color="auto" w:fill="auto"/>
            <w:noWrap/>
            <w:vAlign w:val="center"/>
            <w:hideMark/>
          </w:tcPr>
          <w:p w14:paraId="76806F95" w14:textId="77777777" w:rsidR="00147B5E" w:rsidRPr="00147B5E" w:rsidRDefault="00147B5E" w:rsidP="00147B5E">
            <w:pPr>
              <w:keepNext/>
              <w:rPr>
                <w:rFonts w:ascii="Arial" w:hAnsi="Arial" w:cs="Arial"/>
                <w:color w:val="000000"/>
                <w:sz w:val="20"/>
                <w:szCs w:val="20"/>
              </w:rPr>
            </w:pPr>
            <w:r w:rsidRPr="00147B5E">
              <w:rPr>
                <w:rFonts w:ascii="Arial" w:hAnsi="Arial" w:cs="Arial"/>
                <w:color w:val="000000"/>
                <w:sz w:val="20"/>
                <w:szCs w:val="20"/>
              </w:rPr>
              <w:t>Methodology</w:t>
            </w:r>
          </w:p>
        </w:tc>
        <w:tc>
          <w:tcPr>
            <w:tcW w:w="2652" w:type="dxa"/>
            <w:tcBorders>
              <w:top w:val="nil"/>
              <w:left w:val="nil"/>
              <w:bottom w:val="single" w:sz="4" w:space="0" w:color="auto"/>
              <w:right w:val="single" w:sz="4" w:space="0" w:color="auto"/>
            </w:tcBorders>
            <w:shd w:val="clear" w:color="auto" w:fill="auto"/>
            <w:vAlign w:val="center"/>
            <w:hideMark/>
          </w:tcPr>
          <w:p w14:paraId="38459D5E" w14:textId="77777777" w:rsidR="00147B5E" w:rsidRPr="00147B5E" w:rsidRDefault="00147B5E" w:rsidP="00147B5E">
            <w:pPr>
              <w:keepNext/>
              <w:rPr>
                <w:rFonts w:ascii="Arial" w:hAnsi="Arial" w:cs="Arial"/>
                <w:color w:val="000000"/>
                <w:sz w:val="20"/>
                <w:szCs w:val="20"/>
              </w:rPr>
            </w:pPr>
            <w:r w:rsidRPr="00147B5E">
              <w:rPr>
                <w:rFonts w:ascii="Arial" w:hAnsi="Arial" w:cs="Arial"/>
                <w:color w:val="000000"/>
                <w:sz w:val="20"/>
                <w:szCs w:val="20"/>
              </w:rPr>
              <w:t>Climate-zone-specific regressions using a matched control-group and difference-in-differences analysis on event and event-like non-event days.</w:t>
            </w:r>
          </w:p>
        </w:tc>
        <w:tc>
          <w:tcPr>
            <w:tcW w:w="2708" w:type="dxa"/>
            <w:tcBorders>
              <w:top w:val="nil"/>
              <w:left w:val="nil"/>
              <w:bottom w:val="single" w:sz="4" w:space="0" w:color="auto"/>
              <w:right w:val="single" w:sz="4" w:space="0" w:color="auto"/>
            </w:tcBorders>
            <w:shd w:val="clear" w:color="000000" w:fill="FFFFFF"/>
            <w:vAlign w:val="center"/>
            <w:hideMark/>
          </w:tcPr>
          <w:p w14:paraId="61B2EAE6" w14:textId="77777777" w:rsidR="00147B5E" w:rsidRPr="00147B5E" w:rsidRDefault="00147B5E" w:rsidP="00147B5E">
            <w:pPr>
              <w:keepNext/>
              <w:rPr>
                <w:rFonts w:ascii="Arial" w:hAnsi="Arial" w:cs="Arial"/>
                <w:color w:val="000000"/>
                <w:sz w:val="20"/>
                <w:szCs w:val="20"/>
              </w:rPr>
            </w:pPr>
            <w:r w:rsidRPr="00147B5E">
              <w:rPr>
                <w:rFonts w:ascii="Arial" w:hAnsi="Arial" w:cs="Arial"/>
                <w:color w:val="000000"/>
                <w:sz w:val="20"/>
                <w:szCs w:val="20"/>
              </w:rPr>
              <w:t>Treatment only customer regressions to estimate observed loads.</w:t>
            </w:r>
          </w:p>
        </w:tc>
        <w:tc>
          <w:tcPr>
            <w:tcW w:w="2420" w:type="dxa"/>
            <w:tcBorders>
              <w:top w:val="nil"/>
              <w:left w:val="nil"/>
              <w:bottom w:val="single" w:sz="4" w:space="0" w:color="auto"/>
              <w:right w:val="single" w:sz="4" w:space="0" w:color="auto"/>
            </w:tcBorders>
            <w:shd w:val="clear" w:color="000000" w:fill="FFFFFF"/>
            <w:vAlign w:val="center"/>
            <w:hideMark/>
          </w:tcPr>
          <w:p w14:paraId="27EA6BE6" w14:textId="4F72D38F" w:rsidR="00147B5E" w:rsidRPr="00147B5E" w:rsidRDefault="00147B5E" w:rsidP="00147B5E">
            <w:pPr>
              <w:keepNext/>
              <w:rPr>
                <w:rFonts w:ascii="Arial" w:hAnsi="Arial" w:cs="Arial"/>
                <w:color w:val="000000"/>
                <w:sz w:val="20"/>
                <w:szCs w:val="20"/>
              </w:rPr>
            </w:pPr>
            <w:r w:rsidRPr="00147B5E">
              <w:rPr>
                <w:rFonts w:ascii="Arial" w:hAnsi="Arial" w:cs="Arial"/>
                <w:color w:val="000000"/>
                <w:sz w:val="20"/>
                <w:szCs w:val="20"/>
              </w:rPr>
              <w:t xml:space="preserve">No effect to percentage load impacts. The </w:t>
            </w:r>
            <w:r w:rsidRPr="00147B5E">
              <w:rPr>
                <w:rFonts w:ascii="Arial" w:hAnsi="Arial" w:cs="Arial"/>
                <w:i/>
                <w:iCs/>
                <w:color w:val="000000"/>
                <w:sz w:val="20"/>
                <w:szCs w:val="20"/>
              </w:rPr>
              <w:t>ex-post</w:t>
            </w:r>
            <w:r w:rsidRPr="00147B5E">
              <w:rPr>
                <w:rFonts w:ascii="Arial" w:hAnsi="Arial" w:cs="Arial"/>
                <w:color w:val="000000"/>
                <w:sz w:val="20"/>
                <w:szCs w:val="20"/>
              </w:rPr>
              <w:t xml:space="preserve"> </w:t>
            </w:r>
            <w:r w:rsidR="004F15D6">
              <w:rPr>
                <w:rFonts w:ascii="Arial" w:hAnsi="Arial" w:cs="Arial"/>
                <w:color w:val="000000"/>
                <w:sz w:val="20"/>
                <w:szCs w:val="20"/>
              </w:rPr>
              <w:t xml:space="preserve">percentage load </w:t>
            </w:r>
            <w:r w:rsidRPr="00147B5E">
              <w:rPr>
                <w:rFonts w:ascii="Arial" w:hAnsi="Arial" w:cs="Arial"/>
                <w:color w:val="000000"/>
                <w:sz w:val="20"/>
                <w:szCs w:val="20"/>
              </w:rPr>
              <w:t xml:space="preserve">impacts are </w:t>
            </w:r>
            <w:r w:rsidR="004F15D6">
              <w:rPr>
                <w:rFonts w:ascii="Arial" w:hAnsi="Arial" w:cs="Arial"/>
                <w:color w:val="000000"/>
                <w:sz w:val="20"/>
                <w:szCs w:val="20"/>
              </w:rPr>
              <w:t xml:space="preserve">applied to reference loads of </w:t>
            </w:r>
            <w:r w:rsidRPr="00147B5E">
              <w:rPr>
                <w:rFonts w:ascii="Arial" w:hAnsi="Arial" w:cs="Arial"/>
                <w:color w:val="000000"/>
                <w:sz w:val="20"/>
                <w:szCs w:val="20"/>
              </w:rPr>
              <w:t xml:space="preserve">the various scenarios in the </w:t>
            </w:r>
            <w:r w:rsidRPr="00147B5E">
              <w:rPr>
                <w:rFonts w:ascii="Arial" w:hAnsi="Arial" w:cs="Arial"/>
                <w:i/>
                <w:iCs/>
                <w:color w:val="000000"/>
                <w:sz w:val="20"/>
                <w:szCs w:val="20"/>
              </w:rPr>
              <w:t>ex-ante</w:t>
            </w:r>
            <w:r w:rsidRPr="00147B5E">
              <w:rPr>
                <w:rFonts w:ascii="Arial" w:hAnsi="Arial" w:cs="Arial"/>
                <w:color w:val="000000"/>
                <w:sz w:val="20"/>
                <w:szCs w:val="20"/>
              </w:rPr>
              <w:t xml:space="preserve"> study.</w:t>
            </w:r>
          </w:p>
        </w:tc>
      </w:tr>
    </w:tbl>
    <w:p w14:paraId="414D3C9C" w14:textId="02117649" w:rsidR="009A76C1" w:rsidRDefault="009A76C1" w:rsidP="00182142"/>
    <w:p w14:paraId="1BF283B5" w14:textId="6D07151F" w:rsidR="002A561C" w:rsidRDefault="00D81CEB" w:rsidP="00095AB1">
      <w:pPr>
        <w:pStyle w:val="Heading2"/>
        <w:spacing w:after="120"/>
      </w:pPr>
      <w:bookmarkStart w:id="127" w:name="_Toc509576777"/>
      <w:r>
        <w:t>7</w:t>
      </w:r>
      <w:r w:rsidR="002A561C">
        <w:t>.2 Residential TOU</w:t>
      </w:r>
      <w:bookmarkEnd w:id="127"/>
    </w:p>
    <w:p w14:paraId="2097407B" w14:textId="210BD85B" w:rsidR="006E7BC9" w:rsidRDefault="006E7BC9" w:rsidP="006E7BC9">
      <w:pPr>
        <w:pStyle w:val="Heading3"/>
        <w:rPr>
          <w:i/>
        </w:rPr>
      </w:pPr>
      <w:bookmarkStart w:id="128" w:name="_Toc509576778"/>
      <w:r>
        <w:t xml:space="preserve">7.2.1 Previous versus current </w:t>
      </w:r>
      <w:r>
        <w:rPr>
          <w:i/>
        </w:rPr>
        <w:t>ex-post</w:t>
      </w:r>
      <w:bookmarkEnd w:id="128"/>
    </w:p>
    <w:p w14:paraId="0220E3AA" w14:textId="510527C1" w:rsidR="00473271" w:rsidRPr="00473271" w:rsidRDefault="00076AEA" w:rsidP="00473271">
      <w:r>
        <w:t>Table 7.6</w:t>
      </w:r>
      <w:r w:rsidR="00473271">
        <w:t xml:space="preserve"> shows the average reference loads and load impacts for the average</w:t>
      </w:r>
      <w:r w:rsidR="005D7928">
        <w:t xml:space="preserve"> August weekday</w:t>
      </w:r>
      <w:r w:rsidR="00473271">
        <w:t xml:space="preserve"> day during the cur</w:t>
      </w:r>
      <w:r w:rsidR="005D7928">
        <w:t>rent and previous program years, averaged over the RA window.  Enrollment numbers have increased</w:t>
      </w:r>
      <w:r w:rsidR="00C9000F">
        <w:t xml:space="preserve"> resulting in higher aggregate reference loads</w:t>
      </w:r>
      <w:r w:rsidR="005D7928">
        <w:t>. The per-customer reference loads have remained about the same; however, the load impact and load impact percentage during the RA window decreased in the PY2017 study.</w:t>
      </w:r>
    </w:p>
    <w:p w14:paraId="5E77CE15" w14:textId="77777777" w:rsidR="00473271" w:rsidRPr="00473271" w:rsidRDefault="00473271" w:rsidP="00473271"/>
    <w:p w14:paraId="44F8738D" w14:textId="7A7A4077" w:rsidR="006E7BC9" w:rsidRDefault="006E7BC9" w:rsidP="006E7BC9">
      <w:pPr>
        <w:pStyle w:val="TableCaption"/>
        <w:keepNext/>
      </w:pPr>
      <w:bookmarkStart w:id="129" w:name="_Toc506820230"/>
      <w:bookmarkStart w:id="130" w:name="_Toc509576806"/>
      <w:r>
        <w:lastRenderedPageBreak/>
        <w:t>Table 7.</w:t>
      </w:r>
      <w:r w:rsidR="00076AEA">
        <w:t>6</w:t>
      </w:r>
      <w:r>
        <w:t xml:space="preserve"> Comparison of PY2016 </w:t>
      </w:r>
      <w:r>
        <w:rPr>
          <w:i/>
        </w:rPr>
        <w:t xml:space="preserve">Ex-Post </w:t>
      </w:r>
      <w:r>
        <w:t xml:space="preserve">and PY2017 </w:t>
      </w:r>
      <w:r>
        <w:rPr>
          <w:i/>
        </w:rPr>
        <w:t>Ex-Post</w:t>
      </w:r>
      <w:r>
        <w:t xml:space="preserve"> TOU Load </w:t>
      </w:r>
      <w:bookmarkEnd w:id="129"/>
      <w:r>
        <w:t>Impacts</w:t>
      </w:r>
      <w:bookmarkEnd w:id="130"/>
    </w:p>
    <w:tbl>
      <w:tblPr>
        <w:tblW w:w="8514" w:type="dxa"/>
        <w:jc w:val="center"/>
        <w:tblLook w:val="04A0" w:firstRow="1" w:lastRow="0" w:firstColumn="1" w:lastColumn="0" w:noHBand="0" w:noVBand="1"/>
      </w:tblPr>
      <w:tblGrid>
        <w:gridCol w:w="1600"/>
        <w:gridCol w:w="3170"/>
        <w:gridCol w:w="1872"/>
        <w:gridCol w:w="1872"/>
      </w:tblGrid>
      <w:tr w:rsidR="006E7BC9" w:rsidRPr="009C3283" w14:paraId="121556F6" w14:textId="77777777" w:rsidTr="005D7928">
        <w:trPr>
          <w:trHeight w:val="244"/>
          <w:jc w:val="center"/>
        </w:trPr>
        <w:tc>
          <w:tcPr>
            <w:tcW w:w="1600" w:type="dxa"/>
            <w:vMerge w:val="restart"/>
            <w:tcBorders>
              <w:top w:val="single" w:sz="4" w:space="0" w:color="auto"/>
              <w:left w:val="single" w:sz="4" w:space="0" w:color="auto"/>
              <w:bottom w:val="single" w:sz="4" w:space="0" w:color="auto"/>
              <w:right w:val="single" w:sz="4" w:space="0" w:color="FFFFFF"/>
            </w:tcBorders>
            <w:shd w:val="clear" w:color="000000" w:fill="132577"/>
            <w:noWrap/>
            <w:vAlign w:val="center"/>
            <w:hideMark/>
          </w:tcPr>
          <w:p w14:paraId="0A75CB6E" w14:textId="77777777" w:rsidR="006E7BC9" w:rsidRPr="009C3283" w:rsidRDefault="006E7BC9" w:rsidP="006E7BC9">
            <w:pPr>
              <w:keepNext/>
              <w:jc w:val="center"/>
              <w:rPr>
                <w:rFonts w:cs="Calibri"/>
                <w:b/>
                <w:bCs/>
                <w:color w:val="FFFFFF"/>
                <w:sz w:val="20"/>
                <w:szCs w:val="20"/>
              </w:rPr>
            </w:pPr>
            <w:r w:rsidRPr="009C3283">
              <w:rPr>
                <w:rFonts w:cs="Calibri"/>
                <w:b/>
                <w:bCs/>
                <w:color w:val="FFFFFF"/>
                <w:sz w:val="20"/>
                <w:szCs w:val="20"/>
              </w:rPr>
              <w:t>Season</w:t>
            </w:r>
          </w:p>
        </w:tc>
        <w:tc>
          <w:tcPr>
            <w:tcW w:w="3170" w:type="dxa"/>
            <w:vMerge w:val="restart"/>
            <w:tcBorders>
              <w:top w:val="single" w:sz="4" w:space="0" w:color="auto"/>
              <w:left w:val="nil"/>
              <w:bottom w:val="single" w:sz="4" w:space="0" w:color="auto"/>
              <w:right w:val="nil"/>
            </w:tcBorders>
            <w:shd w:val="clear" w:color="000000" w:fill="132577"/>
            <w:noWrap/>
            <w:vAlign w:val="center"/>
            <w:hideMark/>
          </w:tcPr>
          <w:p w14:paraId="640A0151" w14:textId="77777777" w:rsidR="006E7BC9" w:rsidRPr="009C3283" w:rsidRDefault="006E7BC9" w:rsidP="006E7BC9">
            <w:pPr>
              <w:keepNext/>
              <w:jc w:val="center"/>
              <w:rPr>
                <w:rFonts w:cs="Calibri"/>
                <w:b/>
                <w:bCs/>
                <w:color w:val="FFFFFF"/>
                <w:sz w:val="20"/>
                <w:szCs w:val="20"/>
              </w:rPr>
            </w:pPr>
            <w:r w:rsidRPr="009C3283">
              <w:rPr>
                <w:rFonts w:cs="Calibri"/>
                <w:b/>
                <w:bCs/>
                <w:color w:val="FFFFFF"/>
                <w:sz w:val="20"/>
                <w:szCs w:val="20"/>
              </w:rPr>
              <w:t>Result</w:t>
            </w:r>
          </w:p>
        </w:tc>
        <w:tc>
          <w:tcPr>
            <w:tcW w:w="1872" w:type="dxa"/>
            <w:vMerge w:val="restart"/>
            <w:tcBorders>
              <w:top w:val="single" w:sz="4" w:space="0" w:color="auto"/>
              <w:left w:val="single" w:sz="4" w:space="0" w:color="FFFFFF"/>
              <w:bottom w:val="single" w:sz="4" w:space="0" w:color="auto"/>
              <w:right w:val="single" w:sz="4" w:space="0" w:color="FFFFFF"/>
            </w:tcBorders>
            <w:shd w:val="clear" w:color="000000" w:fill="132577"/>
            <w:vAlign w:val="center"/>
            <w:hideMark/>
          </w:tcPr>
          <w:p w14:paraId="6EE16FC4" w14:textId="625E7C4E" w:rsidR="006E7BC9" w:rsidRPr="009C3283" w:rsidRDefault="006E7BC9" w:rsidP="006E7BC9">
            <w:pPr>
              <w:keepNext/>
              <w:jc w:val="center"/>
              <w:rPr>
                <w:rFonts w:cs="Calibri"/>
                <w:b/>
                <w:bCs/>
                <w:i/>
                <w:iCs/>
                <w:color w:val="FFFFFF"/>
                <w:sz w:val="20"/>
                <w:szCs w:val="20"/>
              </w:rPr>
            </w:pPr>
            <w:r w:rsidRPr="009C3283">
              <w:rPr>
                <w:rFonts w:cs="Calibri"/>
                <w:b/>
                <w:bCs/>
                <w:i/>
                <w:iCs/>
                <w:color w:val="FFFFFF"/>
                <w:sz w:val="20"/>
                <w:szCs w:val="20"/>
              </w:rPr>
              <w:t>Ex-post for 201</w:t>
            </w:r>
            <w:r w:rsidR="005D7928">
              <w:rPr>
                <w:rFonts w:cs="Calibri"/>
                <w:b/>
                <w:bCs/>
                <w:i/>
                <w:iCs/>
                <w:color w:val="FFFFFF"/>
                <w:sz w:val="20"/>
                <w:szCs w:val="20"/>
              </w:rPr>
              <w:t>6</w:t>
            </w:r>
            <w:r w:rsidRPr="009C3283">
              <w:rPr>
                <w:rFonts w:cs="Calibri"/>
                <w:b/>
                <w:bCs/>
                <w:i/>
                <w:iCs/>
                <w:color w:val="FFFFFF"/>
                <w:sz w:val="20"/>
                <w:szCs w:val="20"/>
              </w:rPr>
              <w:t xml:space="preserve"> </w:t>
            </w:r>
            <w:r w:rsidR="005D7928">
              <w:rPr>
                <w:rFonts w:cs="Calibri"/>
                <w:b/>
                <w:bCs/>
                <w:i/>
                <w:iCs/>
                <w:color w:val="FFFFFF"/>
                <w:sz w:val="20"/>
                <w:szCs w:val="20"/>
              </w:rPr>
              <w:t xml:space="preserve">Aug. </w:t>
            </w:r>
            <w:r w:rsidRPr="009C3283">
              <w:rPr>
                <w:rFonts w:cs="Calibri"/>
                <w:b/>
                <w:bCs/>
                <w:i/>
                <w:iCs/>
                <w:color w:val="FFFFFF"/>
                <w:sz w:val="20"/>
                <w:szCs w:val="20"/>
              </w:rPr>
              <w:t>Avg. Weekday from PY2016 Study</w:t>
            </w:r>
          </w:p>
        </w:tc>
        <w:tc>
          <w:tcPr>
            <w:tcW w:w="1872" w:type="dxa"/>
            <w:vMerge w:val="restart"/>
            <w:tcBorders>
              <w:top w:val="single" w:sz="4" w:space="0" w:color="auto"/>
              <w:left w:val="single" w:sz="4" w:space="0" w:color="FFFFFF"/>
              <w:bottom w:val="single" w:sz="4" w:space="0" w:color="auto"/>
              <w:right w:val="single" w:sz="4" w:space="0" w:color="auto"/>
            </w:tcBorders>
            <w:shd w:val="clear" w:color="000000" w:fill="132577"/>
            <w:vAlign w:val="center"/>
            <w:hideMark/>
          </w:tcPr>
          <w:p w14:paraId="5989AF42" w14:textId="0B613550" w:rsidR="006E7BC9" w:rsidRPr="009C3283" w:rsidRDefault="006E7BC9" w:rsidP="006E7BC9">
            <w:pPr>
              <w:keepNext/>
              <w:jc w:val="center"/>
              <w:rPr>
                <w:rFonts w:cs="Calibri"/>
                <w:b/>
                <w:bCs/>
                <w:i/>
                <w:iCs/>
                <w:color w:val="FFFFFF"/>
                <w:sz w:val="20"/>
                <w:szCs w:val="20"/>
              </w:rPr>
            </w:pPr>
            <w:r w:rsidRPr="009C3283">
              <w:rPr>
                <w:rFonts w:cs="Calibri"/>
                <w:b/>
                <w:bCs/>
                <w:i/>
                <w:iCs/>
                <w:color w:val="FFFFFF"/>
                <w:sz w:val="20"/>
                <w:szCs w:val="20"/>
              </w:rPr>
              <w:t xml:space="preserve">Ex-post for 2017 </w:t>
            </w:r>
            <w:r w:rsidR="005D7928">
              <w:rPr>
                <w:rFonts w:cs="Calibri"/>
                <w:b/>
                <w:bCs/>
                <w:i/>
                <w:iCs/>
                <w:color w:val="FFFFFF"/>
                <w:sz w:val="20"/>
                <w:szCs w:val="20"/>
              </w:rPr>
              <w:t xml:space="preserve">Aug. </w:t>
            </w:r>
            <w:r w:rsidRPr="009C3283">
              <w:rPr>
                <w:rFonts w:cs="Calibri"/>
                <w:b/>
                <w:bCs/>
                <w:i/>
                <w:iCs/>
                <w:color w:val="FFFFFF"/>
                <w:sz w:val="20"/>
                <w:szCs w:val="20"/>
              </w:rPr>
              <w:t>Avg. Weekday from PY2017 Study</w:t>
            </w:r>
          </w:p>
        </w:tc>
      </w:tr>
      <w:tr w:rsidR="006E7BC9" w:rsidRPr="009C3283" w14:paraId="7246708F" w14:textId="77777777" w:rsidTr="005D7928">
        <w:trPr>
          <w:trHeight w:val="293"/>
          <w:jc w:val="center"/>
        </w:trPr>
        <w:tc>
          <w:tcPr>
            <w:tcW w:w="1600" w:type="dxa"/>
            <w:vMerge/>
            <w:tcBorders>
              <w:top w:val="single" w:sz="4" w:space="0" w:color="auto"/>
              <w:left w:val="single" w:sz="4" w:space="0" w:color="auto"/>
              <w:bottom w:val="single" w:sz="4" w:space="0" w:color="auto"/>
              <w:right w:val="single" w:sz="4" w:space="0" w:color="FFFFFF"/>
            </w:tcBorders>
            <w:vAlign w:val="center"/>
            <w:hideMark/>
          </w:tcPr>
          <w:p w14:paraId="57B5E8FE" w14:textId="77777777" w:rsidR="006E7BC9" w:rsidRPr="009C3283" w:rsidRDefault="006E7BC9" w:rsidP="006E7BC9">
            <w:pPr>
              <w:keepNext/>
              <w:rPr>
                <w:rFonts w:cs="Calibri"/>
                <w:b/>
                <w:bCs/>
                <w:color w:val="FFFFFF"/>
                <w:sz w:val="20"/>
                <w:szCs w:val="20"/>
              </w:rPr>
            </w:pPr>
          </w:p>
        </w:tc>
        <w:tc>
          <w:tcPr>
            <w:tcW w:w="3170" w:type="dxa"/>
            <w:vMerge/>
            <w:tcBorders>
              <w:top w:val="single" w:sz="4" w:space="0" w:color="auto"/>
              <w:left w:val="nil"/>
              <w:bottom w:val="single" w:sz="4" w:space="0" w:color="auto"/>
              <w:right w:val="nil"/>
            </w:tcBorders>
            <w:vAlign w:val="center"/>
            <w:hideMark/>
          </w:tcPr>
          <w:p w14:paraId="78B83901" w14:textId="77777777" w:rsidR="006E7BC9" w:rsidRPr="009C3283" w:rsidRDefault="006E7BC9" w:rsidP="006E7BC9">
            <w:pPr>
              <w:keepNext/>
              <w:rPr>
                <w:rFonts w:cs="Calibri"/>
                <w:b/>
                <w:bCs/>
                <w:color w:val="FFFFFF"/>
                <w:sz w:val="20"/>
                <w:szCs w:val="20"/>
              </w:rPr>
            </w:pPr>
          </w:p>
        </w:tc>
        <w:tc>
          <w:tcPr>
            <w:tcW w:w="1872" w:type="dxa"/>
            <w:vMerge/>
            <w:tcBorders>
              <w:top w:val="single" w:sz="4" w:space="0" w:color="auto"/>
              <w:left w:val="single" w:sz="4" w:space="0" w:color="FFFFFF"/>
              <w:bottom w:val="single" w:sz="4" w:space="0" w:color="auto"/>
              <w:right w:val="single" w:sz="4" w:space="0" w:color="FFFFFF"/>
            </w:tcBorders>
            <w:vAlign w:val="center"/>
            <w:hideMark/>
          </w:tcPr>
          <w:p w14:paraId="4E6FC84F" w14:textId="77777777" w:rsidR="006E7BC9" w:rsidRPr="009C3283" w:rsidRDefault="006E7BC9" w:rsidP="006E7BC9">
            <w:pPr>
              <w:keepNext/>
              <w:rPr>
                <w:rFonts w:cs="Calibri"/>
                <w:b/>
                <w:bCs/>
                <w:i/>
                <w:iCs/>
                <w:color w:val="FFFFFF"/>
                <w:sz w:val="20"/>
                <w:szCs w:val="20"/>
              </w:rPr>
            </w:pPr>
          </w:p>
        </w:tc>
        <w:tc>
          <w:tcPr>
            <w:tcW w:w="1872" w:type="dxa"/>
            <w:vMerge/>
            <w:tcBorders>
              <w:top w:val="single" w:sz="4" w:space="0" w:color="auto"/>
              <w:left w:val="single" w:sz="4" w:space="0" w:color="FFFFFF"/>
              <w:bottom w:val="single" w:sz="4" w:space="0" w:color="auto"/>
              <w:right w:val="single" w:sz="4" w:space="0" w:color="auto"/>
            </w:tcBorders>
            <w:vAlign w:val="center"/>
            <w:hideMark/>
          </w:tcPr>
          <w:p w14:paraId="31645CBC" w14:textId="77777777" w:rsidR="006E7BC9" w:rsidRPr="009C3283" w:rsidRDefault="006E7BC9" w:rsidP="006E7BC9">
            <w:pPr>
              <w:keepNext/>
              <w:rPr>
                <w:rFonts w:cs="Calibri"/>
                <w:b/>
                <w:bCs/>
                <w:i/>
                <w:iCs/>
                <w:color w:val="FFFFFF"/>
                <w:sz w:val="20"/>
                <w:szCs w:val="20"/>
              </w:rPr>
            </w:pPr>
          </w:p>
        </w:tc>
      </w:tr>
      <w:tr w:rsidR="006E7BC9" w:rsidRPr="009C3283" w14:paraId="6E182692" w14:textId="77777777" w:rsidTr="005D7928">
        <w:trPr>
          <w:trHeight w:val="20"/>
          <w:jc w:val="center"/>
        </w:trPr>
        <w:tc>
          <w:tcPr>
            <w:tcW w:w="16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3591D1B" w14:textId="77777777" w:rsidR="006E7BC9" w:rsidRPr="009C3283" w:rsidRDefault="006E7BC9" w:rsidP="006E7BC9">
            <w:pPr>
              <w:keepNext/>
              <w:jc w:val="center"/>
              <w:rPr>
                <w:rFonts w:cs="Calibri"/>
                <w:b/>
                <w:bCs/>
                <w:color w:val="000000"/>
                <w:sz w:val="20"/>
                <w:szCs w:val="20"/>
              </w:rPr>
            </w:pPr>
            <w:r w:rsidRPr="009C3283">
              <w:rPr>
                <w:rFonts w:cs="Calibri"/>
                <w:b/>
                <w:bCs/>
                <w:color w:val="000000"/>
                <w:sz w:val="20"/>
                <w:szCs w:val="20"/>
              </w:rPr>
              <w:t>Summer (August)</w:t>
            </w:r>
          </w:p>
        </w:tc>
        <w:tc>
          <w:tcPr>
            <w:tcW w:w="3170" w:type="dxa"/>
            <w:tcBorders>
              <w:top w:val="single" w:sz="4" w:space="0" w:color="auto"/>
              <w:left w:val="nil"/>
              <w:bottom w:val="single" w:sz="4" w:space="0" w:color="auto"/>
              <w:right w:val="single" w:sz="4" w:space="0" w:color="auto"/>
            </w:tcBorders>
            <w:shd w:val="clear" w:color="auto" w:fill="auto"/>
            <w:noWrap/>
            <w:vAlign w:val="center"/>
            <w:hideMark/>
          </w:tcPr>
          <w:p w14:paraId="5CBE51B9" w14:textId="77777777" w:rsidR="006E7BC9" w:rsidRPr="009C3283" w:rsidRDefault="006E7BC9" w:rsidP="006E7BC9">
            <w:pPr>
              <w:keepNext/>
              <w:rPr>
                <w:rFonts w:cs="Calibri"/>
                <w:color w:val="000000"/>
                <w:sz w:val="20"/>
                <w:szCs w:val="20"/>
              </w:rPr>
            </w:pPr>
            <w:r w:rsidRPr="009C3283">
              <w:rPr>
                <w:rFonts w:cs="Calibri"/>
                <w:color w:val="000000"/>
                <w:sz w:val="20"/>
                <w:szCs w:val="20"/>
              </w:rPr>
              <w:t># Enrolled</w:t>
            </w:r>
          </w:p>
        </w:tc>
        <w:tc>
          <w:tcPr>
            <w:tcW w:w="1872" w:type="dxa"/>
            <w:tcBorders>
              <w:top w:val="single" w:sz="4" w:space="0" w:color="auto"/>
              <w:left w:val="nil"/>
              <w:bottom w:val="single" w:sz="4" w:space="0" w:color="auto"/>
              <w:right w:val="single" w:sz="4" w:space="0" w:color="auto"/>
            </w:tcBorders>
            <w:shd w:val="clear" w:color="auto" w:fill="auto"/>
            <w:noWrap/>
            <w:vAlign w:val="center"/>
            <w:hideMark/>
          </w:tcPr>
          <w:p w14:paraId="0C5219E6" w14:textId="77777777" w:rsidR="006E7BC9" w:rsidRPr="009C3283" w:rsidRDefault="006E7BC9" w:rsidP="006E7BC9">
            <w:pPr>
              <w:keepNext/>
              <w:jc w:val="center"/>
              <w:rPr>
                <w:rFonts w:cs="Calibri"/>
                <w:color w:val="000000"/>
                <w:sz w:val="20"/>
                <w:szCs w:val="20"/>
              </w:rPr>
            </w:pPr>
            <w:r>
              <w:rPr>
                <w:rFonts w:cs="Calibri"/>
                <w:color w:val="000000"/>
                <w:sz w:val="20"/>
                <w:szCs w:val="20"/>
              </w:rPr>
              <w:t>3,596</w:t>
            </w:r>
          </w:p>
        </w:tc>
        <w:tc>
          <w:tcPr>
            <w:tcW w:w="1872" w:type="dxa"/>
            <w:tcBorders>
              <w:top w:val="single" w:sz="4" w:space="0" w:color="auto"/>
              <w:left w:val="nil"/>
              <w:bottom w:val="single" w:sz="4" w:space="0" w:color="auto"/>
              <w:right w:val="single" w:sz="4" w:space="0" w:color="auto"/>
            </w:tcBorders>
            <w:shd w:val="clear" w:color="auto" w:fill="auto"/>
            <w:noWrap/>
            <w:vAlign w:val="center"/>
            <w:hideMark/>
          </w:tcPr>
          <w:p w14:paraId="44B8516A" w14:textId="77777777" w:rsidR="006E7BC9" w:rsidRPr="009C3283" w:rsidRDefault="006E7BC9" w:rsidP="006E7BC9">
            <w:pPr>
              <w:keepNext/>
              <w:jc w:val="center"/>
              <w:rPr>
                <w:rFonts w:cs="Calibri"/>
                <w:color w:val="000000"/>
                <w:sz w:val="20"/>
                <w:szCs w:val="20"/>
              </w:rPr>
            </w:pPr>
            <w:r>
              <w:rPr>
                <w:rFonts w:cs="Calibri"/>
                <w:color w:val="000000"/>
                <w:sz w:val="20"/>
                <w:szCs w:val="20"/>
              </w:rPr>
              <w:t>6,396</w:t>
            </w:r>
          </w:p>
        </w:tc>
      </w:tr>
      <w:tr w:rsidR="006E7BC9" w:rsidRPr="009C3283" w14:paraId="481A3D10" w14:textId="77777777" w:rsidTr="005D7928">
        <w:trPr>
          <w:trHeight w:val="20"/>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14:paraId="2F8CB1CA" w14:textId="77777777" w:rsidR="006E7BC9" w:rsidRPr="009C3283" w:rsidRDefault="006E7BC9" w:rsidP="006E7BC9">
            <w:pPr>
              <w:keepNext/>
              <w:rPr>
                <w:rFonts w:cs="Calibri"/>
                <w:b/>
                <w:bCs/>
                <w:color w:val="000000"/>
                <w:sz w:val="20"/>
                <w:szCs w:val="20"/>
              </w:rPr>
            </w:pPr>
          </w:p>
        </w:tc>
        <w:tc>
          <w:tcPr>
            <w:tcW w:w="3170" w:type="dxa"/>
            <w:tcBorders>
              <w:top w:val="single" w:sz="4" w:space="0" w:color="auto"/>
              <w:left w:val="nil"/>
              <w:bottom w:val="single" w:sz="4" w:space="0" w:color="auto"/>
              <w:right w:val="single" w:sz="4" w:space="0" w:color="auto"/>
            </w:tcBorders>
            <w:shd w:val="clear" w:color="auto" w:fill="auto"/>
            <w:noWrap/>
            <w:vAlign w:val="center"/>
            <w:hideMark/>
          </w:tcPr>
          <w:p w14:paraId="438D6AE0" w14:textId="77777777" w:rsidR="006E7BC9" w:rsidRPr="009C3283" w:rsidRDefault="006E7BC9" w:rsidP="006E7BC9">
            <w:pPr>
              <w:keepNext/>
              <w:rPr>
                <w:rFonts w:cs="Calibri"/>
                <w:color w:val="000000"/>
                <w:sz w:val="20"/>
                <w:szCs w:val="20"/>
              </w:rPr>
            </w:pPr>
            <w:r w:rsidRPr="009C3283">
              <w:rPr>
                <w:rFonts w:cs="Calibri"/>
                <w:color w:val="000000"/>
                <w:sz w:val="20"/>
                <w:szCs w:val="20"/>
              </w:rPr>
              <w:t>Reference (MWh/h)</w:t>
            </w:r>
          </w:p>
        </w:tc>
        <w:tc>
          <w:tcPr>
            <w:tcW w:w="1872" w:type="dxa"/>
            <w:tcBorders>
              <w:top w:val="single" w:sz="4" w:space="0" w:color="auto"/>
              <w:left w:val="nil"/>
              <w:bottom w:val="single" w:sz="4" w:space="0" w:color="auto"/>
              <w:right w:val="single" w:sz="4" w:space="0" w:color="auto"/>
            </w:tcBorders>
            <w:shd w:val="clear" w:color="auto" w:fill="auto"/>
            <w:noWrap/>
            <w:vAlign w:val="center"/>
            <w:hideMark/>
          </w:tcPr>
          <w:p w14:paraId="2349DAB5" w14:textId="77777777" w:rsidR="006E7BC9" w:rsidRPr="009C3283" w:rsidRDefault="006E7BC9" w:rsidP="006E7BC9">
            <w:pPr>
              <w:keepNext/>
              <w:jc w:val="center"/>
              <w:rPr>
                <w:rFonts w:cs="Calibri"/>
                <w:color w:val="000000"/>
                <w:sz w:val="20"/>
                <w:szCs w:val="20"/>
              </w:rPr>
            </w:pPr>
            <w:r>
              <w:rPr>
                <w:rFonts w:cs="Calibri"/>
                <w:color w:val="000000"/>
                <w:sz w:val="20"/>
                <w:szCs w:val="20"/>
              </w:rPr>
              <w:t>3.79</w:t>
            </w:r>
          </w:p>
        </w:tc>
        <w:tc>
          <w:tcPr>
            <w:tcW w:w="1872" w:type="dxa"/>
            <w:tcBorders>
              <w:top w:val="single" w:sz="4" w:space="0" w:color="auto"/>
              <w:left w:val="nil"/>
              <w:bottom w:val="single" w:sz="4" w:space="0" w:color="auto"/>
              <w:right w:val="single" w:sz="4" w:space="0" w:color="auto"/>
            </w:tcBorders>
            <w:shd w:val="clear" w:color="auto" w:fill="auto"/>
            <w:noWrap/>
            <w:vAlign w:val="center"/>
            <w:hideMark/>
          </w:tcPr>
          <w:p w14:paraId="63582898" w14:textId="77777777" w:rsidR="006E7BC9" w:rsidRPr="009C3283" w:rsidRDefault="006E7BC9" w:rsidP="006E7BC9">
            <w:pPr>
              <w:keepNext/>
              <w:jc w:val="center"/>
              <w:rPr>
                <w:rFonts w:cs="Calibri"/>
                <w:color w:val="000000"/>
                <w:sz w:val="20"/>
                <w:szCs w:val="20"/>
              </w:rPr>
            </w:pPr>
            <w:r>
              <w:rPr>
                <w:rFonts w:cs="Calibri"/>
                <w:color w:val="000000"/>
                <w:sz w:val="20"/>
                <w:szCs w:val="20"/>
              </w:rPr>
              <w:t>6.77</w:t>
            </w:r>
          </w:p>
        </w:tc>
      </w:tr>
      <w:tr w:rsidR="006E7BC9" w:rsidRPr="009C3283" w14:paraId="0D94C3EA" w14:textId="77777777" w:rsidTr="005D7928">
        <w:trPr>
          <w:trHeight w:val="20"/>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14:paraId="31A57398" w14:textId="77777777" w:rsidR="006E7BC9" w:rsidRPr="009C3283" w:rsidRDefault="006E7BC9" w:rsidP="006E7BC9">
            <w:pPr>
              <w:keepNext/>
              <w:rPr>
                <w:rFonts w:cs="Calibri"/>
                <w:b/>
                <w:bCs/>
                <w:color w:val="000000"/>
                <w:sz w:val="20"/>
                <w:szCs w:val="20"/>
              </w:rPr>
            </w:pPr>
          </w:p>
        </w:tc>
        <w:tc>
          <w:tcPr>
            <w:tcW w:w="3170" w:type="dxa"/>
            <w:tcBorders>
              <w:top w:val="single" w:sz="4" w:space="0" w:color="auto"/>
              <w:left w:val="nil"/>
              <w:bottom w:val="single" w:sz="4" w:space="0" w:color="auto"/>
              <w:right w:val="single" w:sz="4" w:space="0" w:color="auto"/>
            </w:tcBorders>
            <w:shd w:val="clear" w:color="auto" w:fill="auto"/>
            <w:noWrap/>
            <w:vAlign w:val="center"/>
            <w:hideMark/>
          </w:tcPr>
          <w:p w14:paraId="33504D76" w14:textId="77777777" w:rsidR="006E7BC9" w:rsidRPr="009C3283" w:rsidRDefault="006E7BC9" w:rsidP="006E7BC9">
            <w:pPr>
              <w:keepNext/>
              <w:rPr>
                <w:rFonts w:cs="Calibri"/>
                <w:color w:val="000000"/>
                <w:sz w:val="20"/>
                <w:szCs w:val="20"/>
              </w:rPr>
            </w:pPr>
            <w:r w:rsidRPr="009C3283">
              <w:rPr>
                <w:rFonts w:cs="Calibri"/>
                <w:color w:val="000000"/>
                <w:sz w:val="20"/>
                <w:szCs w:val="20"/>
              </w:rPr>
              <w:t>Load Impact (MWh/h)</w:t>
            </w:r>
          </w:p>
        </w:tc>
        <w:tc>
          <w:tcPr>
            <w:tcW w:w="1872" w:type="dxa"/>
            <w:tcBorders>
              <w:top w:val="single" w:sz="4" w:space="0" w:color="auto"/>
              <w:left w:val="nil"/>
              <w:bottom w:val="single" w:sz="4" w:space="0" w:color="auto"/>
              <w:right w:val="single" w:sz="4" w:space="0" w:color="auto"/>
            </w:tcBorders>
            <w:shd w:val="clear" w:color="auto" w:fill="auto"/>
            <w:noWrap/>
            <w:vAlign w:val="center"/>
            <w:hideMark/>
          </w:tcPr>
          <w:p w14:paraId="2AB86709" w14:textId="77777777" w:rsidR="006E7BC9" w:rsidRPr="009C3283" w:rsidRDefault="006E7BC9" w:rsidP="006E7BC9">
            <w:pPr>
              <w:keepNext/>
              <w:jc w:val="center"/>
              <w:rPr>
                <w:rFonts w:cs="Calibri"/>
                <w:color w:val="000000"/>
                <w:sz w:val="20"/>
                <w:szCs w:val="20"/>
              </w:rPr>
            </w:pPr>
            <w:r>
              <w:rPr>
                <w:rFonts w:cs="Calibri"/>
                <w:color w:val="000000"/>
                <w:sz w:val="20"/>
                <w:szCs w:val="20"/>
              </w:rPr>
              <w:t>0.24</w:t>
            </w:r>
          </w:p>
        </w:tc>
        <w:tc>
          <w:tcPr>
            <w:tcW w:w="1872" w:type="dxa"/>
            <w:tcBorders>
              <w:top w:val="single" w:sz="4" w:space="0" w:color="auto"/>
              <w:left w:val="nil"/>
              <w:bottom w:val="single" w:sz="4" w:space="0" w:color="auto"/>
              <w:right w:val="single" w:sz="4" w:space="0" w:color="auto"/>
            </w:tcBorders>
            <w:shd w:val="clear" w:color="auto" w:fill="auto"/>
            <w:noWrap/>
            <w:vAlign w:val="center"/>
            <w:hideMark/>
          </w:tcPr>
          <w:p w14:paraId="7F557C76" w14:textId="77777777" w:rsidR="006E7BC9" w:rsidRPr="009C3283" w:rsidRDefault="006E7BC9" w:rsidP="006E7BC9">
            <w:pPr>
              <w:keepNext/>
              <w:jc w:val="center"/>
              <w:rPr>
                <w:rFonts w:cs="Calibri"/>
                <w:color w:val="000000"/>
                <w:sz w:val="20"/>
                <w:szCs w:val="20"/>
              </w:rPr>
            </w:pPr>
            <w:r>
              <w:rPr>
                <w:rFonts w:cs="Calibri"/>
                <w:color w:val="000000"/>
                <w:sz w:val="20"/>
                <w:szCs w:val="20"/>
              </w:rPr>
              <w:t>0.19</w:t>
            </w:r>
          </w:p>
        </w:tc>
      </w:tr>
      <w:tr w:rsidR="006E7BC9" w:rsidRPr="009C3283" w14:paraId="476E0AFF" w14:textId="77777777" w:rsidTr="005D7928">
        <w:trPr>
          <w:trHeight w:val="20"/>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14:paraId="1F2CA407" w14:textId="77777777" w:rsidR="006E7BC9" w:rsidRPr="009C3283" w:rsidRDefault="006E7BC9" w:rsidP="006E7BC9">
            <w:pPr>
              <w:keepNext/>
              <w:rPr>
                <w:rFonts w:cs="Calibri"/>
                <w:b/>
                <w:bCs/>
                <w:color w:val="000000"/>
                <w:sz w:val="20"/>
                <w:szCs w:val="20"/>
              </w:rPr>
            </w:pPr>
          </w:p>
        </w:tc>
        <w:tc>
          <w:tcPr>
            <w:tcW w:w="3170" w:type="dxa"/>
            <w:tcBorders>
              <w:top w:val="single" w:sz="4" w:space="0" w:color="auto"/>
              <w:left w:val="nil"/>
              <w:bottom w:val="single" w:sz="4" w:space="0" w:color="auto"/>
              <w:right w:val="single" w:sz="4" w:space="0" w:color="auto"/>
            </w:tcBorders>
            <w:shd w:val="clear" w:color="auto" w:fill="auto"/>
            <w:noWrap/>
            <w:vAlign w:val="center"/>
            <w:hideMark/>
          </w:tcPr>
          <w:p w14:paraId="0E9D66FB" w14:textId="77777777" w:rsidR="006E7BC9" w:rsidRPr="009C3283" w:rsidRDefault="006E7BC9" w:rsidP="006E7BC9">
            <w:pPr>
              <w:keepNext/>
              <w:rPr>
                <w:rFonts w:cs="Calibri"/>
                <w:color w:val="000000"/>
                <w:sz w:val="20"/>
                <w:szCs w:val="20"/>
              </w:rPr>
            </w:pPr>
            <w:r w:rsidRPr="009C3283">
              <w:rPr>
                <w:rFonts w:cs="Calibri"/>
                <w:color w:val="000000"/>
                <w:sz w:val="20"/>
                <w:szCs w:val="20"/>
              </w:rPr>
              <w:t>Per-customer reference (kWh/h)</w:t>
            </w:r>
          </w:p>
        </w:tc>
        <w:tc>
          <w:tcPr>
            <w:tcW w:w="1872" w:type="dxa"/>
            <w:tcBorders>
              <w:top w:val="single" w:sz="4" w:space="0" w:color="auto"/>
              <w:left w:val="nil"/>
              <w:bottom w:val="single" w:sz="4" w:space="0" w:color="auto"/>
              <w:right w:val="single" w:sz="4" w:space="0" w:color="auto"/>
            </w:tcBorders>
            <w:shd w:val="clear" w:color="auto" w:fill="auto"/>
            <w:noWrap/>
            <w:vAlign w:val="center"/>
            <w:hideMark/>
          </w:tcPr>
          <w:p w14:paraId="478454C5" w14:textId="77777777" w:rsidR="006E7BC9" w:rsidRPr="009C3283" w:rsidRDefault="006E7BC9" w:rsidP="006E7BC9">
            <w:pPr>
              <w:keepNext/>
              <w:jc w:val="center"/>
              <w:rPr>
                <w:rFonts w:cs="Calibri"/>
                <w:color w:val="000000"/>
                <w:sz w:val="20"/>
                <w:szCs w:val="20"/>
              </w:rPr>
            </w:pPr>
            <w:r>
              <w:rPr>
                <w:rFonts w:cs="Calibri"/>
                <w:color w:val="000000"/>
                <w:sz w:val="20"/>
                <w:szCs w:val="20"/>
              </w:rPr>
              <w:t>1.05</w:t>
            </w:r>
          </w:p>
        </w:tc>
        <w:tc>
          <w:tcPr>
            <w:tcW w:w="1872" w:type="dxa"/>
            <w:tcBorders>
              <w:top w:val="single" w:sz="4" w:space="0" w:color="auto"/>
              <w:left w:val="nil"/>
              <w:bottom w:val="single" w:sz="4" w:space="0" w:color="auto"/>
              <w:right w:val="single" w:sz="4" w:space="0" w:color="auto"/>
            </w:tcBorders>
            <w:shd w:val="clear" w:color="auto" w:fill="auto"/>
            <w:noWrap/>
            <w:vAlign w:val="center"/>
            <w:hideMark/>
          </w:tcPr>
          <w:p w14:paraId="3AB4DC23" w14:textId="77777777" w:rsidR="006E7BC9" w:rsidRPr="009C3283" w:rsidRDefault="006E7BC9" w:rsidP="006E7BC9">
            <w:pPr>
              <w:keepNext/>
              <w:jc w:val="center"/>
              <w:rPr>
                <w:rFonts w:cs="Calibri"/>
                <w:color w:val="000000"/>
                <w:sz w:val="20"/>
                <w:szCs w:val="20"/>
              </w:rPr>
            </w:pPr>
            <w:r>
              <w:rPr>
                <w:rFonts w:cs="Calibri"/>
                <w:color w:val="000000"/>
                <w:sz w:val="20"/>
                <w:szCs w:val="20"/>
              </w:rPr>
              <w:t>1.06</w:t>
            </w:r>
          </w:p>
        </w:tc>
      </w:tr>
      <w:tr w:rsidR="006E7BC9" w:rsidRPr="009C3283" w14:paraId="426CEE6B" w14:textId="77777777" w:rsidTr="005D7928">
        <w:trPr>
          <w:trHeight w:val="20"/>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14:paraId="63A8C222" w14:textId="77777777" w:rsidR="006E7BC9" w:rsidRPr="009C3283" w:rsidRDefault="006E7BC9" w:rsidP="006E7BC9">
            <w:pPr>
              <w:keepNext/>
              <w:rPr>
                <w:rFonts w:cs="Calibri"/>
                <w:b/>
                <w:bCs/>
                <w:color w:val="000000"/>
                <w:sz w:val="20"/>
                <w:szCs w:val="20"/>
              </w:rPr>
            </w:pPr>
          </w:p>
        </w:tc>
        <w:tc>
          <w:tcPr>
            <w:tcW w:w="3170" w:type="dxa"/>
            <w:tcBorders>
              <w:top w:val="single" w:sz="4" w:space="0" w:color="auto"/>
              <w:left w:val="nil"/>
              <w:bottom w:val="single" w:sz="4" w:space="0" w:color="auto"/>
              <w:right w:val="single" w:sz="4" w:space="0" w:color="auto"/>
            </w:tcBorders>
            <w:shd w:val="clear" w:color="auto" w:fill="auto"/>
            <w:noWrap/>
            <w:vAlign w:val="center"/>
            <w:hideMark/>
          </w:tcPr>
          <w:p w14:paraId="5C2C88F6" w14:textId="77777777" w:rsidR="006E7BC9" w:rsidRPr="009C3283" w:rsidRDefault="006E7BC9" w:rsidP="006E7BC9">
            <w:pPr>
              <w:keepNext/>
              <w:rPr>
                <w:rFonts w:cs="Calibri"/>
                <w:color w:val="000000"/>
                <w:sz w:val="20"/>
                <w:szCs w:val="20"/>
              </w:rPr>
            </w:pPr>
            <w:r w:rsidRPr="009C3283">
              <w:rPr>
                <w:rFonts w:cs="Calibri"/>
                <w:color w:val="000000"/>
                <w:sz w:val="20"/>
                <w:szCs w:val="20"/>
              </w:rPr>
              <w:t>Per-customer load impact (kWh/h)</w:t>
            </w:r>
          </w:p>
        </w:tc>
        <w:tc>
          <w:tcPr>
            <w:tcW w:w="1872" w:type="dxa"/>
            <w:tcBorders>
              <w:top w:val="single" w:sz="4" w:space="0" w:color="auto"/>
              <w:left w:val="nil"/>
              <w:bottom w:val="single" w:sz="4" w:space="0" w:color="auto"/>
              <w:right w:val="single" w:sz="4" w:space="0" w:color="auto"/>
            </w:tcBorders>
            <w:shd w:val="clear" w:color="auto" w:fill="auto"/>
            <w:noWrap/>
            <w:vAlign w:val="center"/>
            <w:hideMark/>
          </w:tcPr>
          <w:p w14:paraId="338F33D0" w14:textId="77777777" w:rsidR="006E7BC9" w:rsidRPr="009C3283" w:rsidRDefault="006E7BC9" w:rsidP="006E7BC9">
            <w:pPr>
              <w:keepNext/>
              <w:jc w:val="center"/>
              <w:rPr>
                <w:rFonts w:cs="Calibri"/>
                <w:color w:val="000000"/>
                <w:sz w:val="20"/>
                <w:szCs w:val="20"/>
              </w:rPr>
            </w:pPr>
            <w:r>
              <w:rPr>
                <w:rFonts w:cs="Calibri"/>
                <w:color w:val="000000"/>
                <w:sz w:val="20"/>
                <w:szCs w:val="20"/>
              </w:rPr>
              <w:t>0.07</w:t>
            </w:r>
          </w:p>
        </w:tc>
        <w:tc>
          <w:tcPr>
            <w:tcW w:w="1872" w:type="dxa"/>
            <w:tcBorders>
              <w:top w:val="single" w:sz="4" w:space="0" w:color="auto"/>
              <w:left w:val="nil"/>
              <w:bottom w:val="single" w:sz="4" w:space="0" w:color="auto"/>
              <w:right w:val="single" w:sz="4" w:space="0" w:color="auto"/>
            </w:tcBorders>
            <w:shd w:val="clear" w:color="auto" w:fill="auto"/>
            <w:noWrap/>
            <w:vAlign w:val="center"/>
            <w:hideMark/>
          </w:tcPr>
          <w:p w14:paraId="17C3825D" w14:textId="77777777" w:rsidR="006E7BC9" w:rsidRPr="009C3283" w:rsidRDefault="006E7BC9" w:rsidP="006E7BC9">
            <w:pPr>
              <w:keepNext/>
              <w:jc w:val="center"/>
              <w:rPr>
                <w:rFonts w:cs="Calibri"/>
                <w:color w:val="000000"/>
                <w:sz w:val="20"/>
                <w:szCs w:val="20"/>
              </w:rPr>
            </w:pPr>
            <w:r>
              <w:rPr>
                <w:rFonts w:cs="Calibri"/>
                <w:color w:val="000000"/>
                <w:sz w:val="20"/>
                <w:szCs w:val="20"/>
              </w:rPr>
              <w:t>0.03</w:t>
            </w:r>
          </w:p>
        </w:tc>
      </w:tr>
      <w:tr w:rsidR="006E7BC9" w:rsidRPr="009C3283" w14:paraId="78A5D99B" w14:textId="77777777" w:rsidTr="005D7928">
        <w:trPr>
          <w:trHeight w:val="20"/>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14:paraId="68036765" w14:textId="77777777" w:rsidR="006E7BC9" w:rsidRPr="009C3283" w:rsidRDefault="006E7BC9" w:rsidP="006E7BC9">
            <w:pPr>
              <w:keepNext/>
              <w:rPr>
                <w:rFonts w:cs="Calibri"/>
                <w:b/>
                <w:bCs/>
                <w:color w:val="000000"/>
                <w:sz w:val="20"/>
                <w:szCs w:val="20"/>
              </w:rPr>
            </w:pPr>
          </w:p>
        </w:tc>
        <w:tc>
          <w:tcPr>
            <w:tcW w:w="3170" w:type="dxa"/>
            <w:tcBorders>
              <w:top w:val="single" w:sz="4" w:space="0" w:color="auto"/>
              <w:left w:val="nil"/>
              <w:bottom w:val="single" w:sz="4" w:space="0" w:color="auto"/>
              <w:right w:val="single" w:sz="4" w:space="0" w:color="auto"/>
            </w:tcBorders>
            <w:shd w:val="clear" w:color="auto" w:fill="auto"/>
            <w:noWrap/>
            <w:vAlign w:val="center"/>
            <w:hideMark/>
          </w:tcPr>
          <w:p w14:paraId="65A27670" w14:textId="77777777" w:rsidR="006E7BC9" w:rsidRPr="009C3283" w:rsidRDefault="006E7BC9" w:rsidP="006E7BC9">
            <w:pPr>
              <w:keepNext/>
              <w:rPr>
                <w:rFonts w:cs="Calibri"/>
                <w:color w:val="000000"/>
                <w:sz w:val="20"/>
                <w:szCs w:val="20"/>
              </w:rPr>
            </w:pPr>
            <w:r w:rsidRPr="009C3283">
              <w:rPr>
                <w:rFonts w:cs="Calibri"/>
                <w:color w:val="000000"/>
                <w:sz w:val="20"/>
                <w:szCs w:val="20"/>
              </w:rPr>
              <w:t>% Load Impact</w:t>
            </w:r>
          </w:p>
        </w:tc>
        <w:tc>
          <w:tcPr>
            <w:tcW w:w="1872" w:type="dxa"/>
            <w:tcBorders>
              <w:top w:val="single" w:sz="4" w:space="0" w:color="auto"/>
              <w:left w:val="nil"/>
              <w:bottom w:val="single" w:sz="4" w:space="0" w:color="auto"/>
              <w:right w:val="single" w:sz="4" w:space="0" w:color="auto"/>
            </w:tcBorders>
            <w:shd w:val="clear" w:color="auto" w:fill="auto"/>
            <w:noWrap/>
            <w:vAlign w:val="center"/>
            <w:hideMark/>
          </w:tcPr>
          <w:p w14:paraId="24A6A458" w14:textId="77777777" w:rsidR="006E7BC9" w:rsidRPr="009C3283" w:rsidRDefault="006E7BC9" w:rsidP="006E7BC9">
            <w:pPr>
              <w:keepNext/>
              <w:jc w:val="center"/>
              <w:rPr>
                <w:rFonts w:cs="Calibri"/>
                <w:color w:val="000000"/>
                <w:sz w:val="20"/>
                <w:szCs w:val="20"/>
              </w:rPr>
            </w:pPr>
            <w:r>
              <w:rPr>
                <w:rFonts w:cs="Calibri"/>
                <w:color w:val="000000"/>
                <w:sz w:val="20"/>
                <w:szCs w:val="20"/>
              </w:rPr>
              <w:t>6.25%</w:t>
            </w:r>
          </w:p>
        </w:tc>
        <w:tc>
          <w:tcPr>
            <w:tcW w:w="1872" w:type="dxa"/>
            <w:tcBorders>
              <w:top w:val="single" w:sz="4" w:space="0" w:color="auto"/>
              <w:left w:val="nil"/>
              <w:bottom w:val="single" w:sz="4" w:space="0" w:color="auto"/>
              <w:right w:val="single" w:sz="4" w:space="0" w:color="auto"/>
            </w:tcBorders>
            <w:shd w:val="clear" w:color="auto" w:fill="auto"/>
            <w:noWrap/>
            <w:vAlign w:val="center"/>
            <w:hideMark/>
          </w:tcPr>
          <w:p w14:paraId="27FB8EE6" w14:textId="77777777" w:rsidR="006E7BC9" w:rsidRPr="009C3283" w:rsidRDefault="006E7BC9" w:rsidP="006E7BC9">
            <w:pPr>
              <w:keepNext/>
              <w:jc w:val="center"/>
              <w:rPr>
                <w:rFonts w:cs="Calibri"/>
                <w:color w:val="000000"/>
                <w:sz w:val="20"/>
                <w:szCs w:val="20"/>
              </w:rPr>
            </w:pPr>
            <w:r>
              <w:rPr>
                <w:rFonts w:cs="Calibri"/>
                <w:color w:val="000000"/>
                <w:sz w:val="20"/>
                <w:szCs w:val="20"/>
              </w:rPr>
              <w:t>2.87%</w:t>
            </w:r>
          </w:p>
        </w:tc>
      </w:tr>
      <w:tr w:rsidR="006E7BC9" w:rsidRPr="009C3283" w14:paraId="4D9FE321" w14:textId="77777777" w:rsidTr="005D7928">
        <w:trPr>
          <w:trHeight w:val="20"/>
          <w:jc w:val="center"/>
        </w:trPr>
        <w:tc>
          <w:tcPr>
            <w:tcW w:w="1600" w:type="dxa"/>
            <w:vMerge/>
            <w:tcBorders>
              <w:top w:val="single" w:sz="4" w:space="0" w:color="auto"/>
              <w:left w:val="single" w:sz="4" w:space="0" w:color="auto"/>
              <w:bottom w:val="single" w:sz="4" w:space="0" w:color="auto"/>
              <w:right w:val="single" w:sz="4" w:space="0" w:color="auto"/>
            </w:tcBorders>
            <w:vAlign w:val="center"/>
            <w:hideMark/>
          </w:tcPr>
          <w:p w14:paraId="0D99F72A" w14:textId="77777777" w:rsidR="006E7BC9" w:rsidRPr="009C3283" w:rsidRDefault="006E7BC9" w:rsidP="006E7BC9">
            <w:pPr>
              <w:keepNext/>
              <w:rPr>
                <w:rFonts w:cs="Calibri"/>
                <w:b/>
                <w:bCs/>
                <w:color w:val="000000"/>
                <w:sz w:val="20"/>
                <w:szCs w:val="20"/>
              </w:rPr>
            </w:pPr>
          </w:p>
        </w:tc>
        <w:tc>
          <w:tcPr>
            <w:tcW w:w="3170" w:type="dxa"/>
            <w:tcBorders>
              <w:top w:val="single" w:sz="4" w:space="0" w:color="auto"/>
              <w:left w:val="nil"/>
              <w:bottom w:val="single" w:sz="4" w:space="0" w:color="auto"/>
              <w:right w:val="single" w:sz="4" w:space="0" w:color="auto"/>
            </w:tcBorders>
            <w:shd w:val="clear" w:color="auto" w:fill="auto"/>
            <w:noWrap/>
            <w:vAlign w:val="center"/>
            <w:hideMark/>
          </w:tcPr>
          <w:p w14:paraId="66ABB071" w14:textId="77777777" w:rsidR="006E7BC9" w:rsidRPr="009C3283" w:rsidRDefault="006E7BC9" w:rsidP="006E7BC9">
            <w:pPr>
              <w:keepNext/>
              <w:rPr>
                <w:rFonts w:cs="Calibri"/>
                <w:color w:val="000000"/>
                <w:sz w:val="20"/>
                <w:szCs w:val="20"/>
              </w:rPr>
            </w:pPr>
            <w:r w:rsidRPr="009C3283">
              <w:rPr>
                <w:rFonts w:cs="Calibri"/>
                <w:color w:val="000000"/>
                <w:sz w:val="20"/>
                <w:szCs w:val="20"/>
              </w:rPr>
              <w:t>Temperature</w:t>
            </w:r>
          </w:p>
        </w:tc>
        <w:tc>
          <w:tcPr>
            <w:tcW w:w="1872" w:type="dxa"/>
            <w:tcBorders>
              <w:top w:val="single" w:sz="4" w:space="0" w:color="auto"/>
              <w:left w:val="nil"/>
              <w:bottom w:val="single" w:sz="4" w:space="0" w:color="auto"/>
              <w:right w:val="single" w:sz="4" w:space="0" w:color="auto"/>
            </w:tcBorders>
            <w:shd w:val="clear" w:color="auto" w:fill="auto"/>
            <w:noWrap/>
            <w:vAlign w:val="center"/>
            <w:hideMark/>
          </w:tcPr>
          <w:p w14:paraId="639CC301" w14:textId="77777777" w:rsidR="006E7BC9" w:rsidRPr="009C3283" w:rsidRDefault="006E7BC9" w:rsidP="006E7BC9">
            <w:pPr>
              <w:keepNext/>
              <w:jc w:val="center"/>
              <w:rPr>
                <w:rFonts w:cs="Calibri"/>
                <w:color w:val="000000"/>
                <w:sz w:val="20"/>
                <w:szCs w:val="20"/>
              </w:rPr>
            </w:pPr>
            <w:r>
              <w:rPr>
                <w:rFonts w:cs="Calibri"/>
                <w:color w:val="000000"/>
                <w:sz w:val="20"/>
                <w:szCs w:val="20"/>
              </w:rPr>
              <w:t>77.4</w:t>
            </w:r>
          </w:p>
        </w:tc>
        <w:tc>
          <w:tcPr>
            <w:tcW w:w="1872" w:type="dxa"/>
            <w:tcBorders>
              <w:top w:val="single" w:sz="4" w:space="0" w:color="auto"/>
              <w:left w:val="nil"/>
              <w:bottom w:val="single" w:sz="4" w:space="0" w:color="auto"/>
              <w:right w:val="single" w:sz="4" w:space="0" w:color="auto"/>
            </w:tcBorders>
            <w:shd w:val="clear" w:color="auto" w:fill="auto"/>
            <w:noWrap/>
            <w:vAlign w:val="center"/>
            <w:hideMark/>
          </w:tcPr>
          <w:p w14:paraId="0FF1E30B" w14:textId="77777777" w:rsidR="006E7BC9" w:rsidRPr="009C3283" w:rsidRDefault="006E7BC9" w:rsidP="006E7BC9">
            <w:pPr>
              <w:keepNext/>
              <w:jc w:val="center"/>
              <w:rPr>
                <w:rFonts w:cs="Calibri"/>
                <w:color w:val="000000"/>
                <w:sz w:val="20"/>
                <w:szCs w:val="20"/>
              </w:rPr>
            </w:pPr>
            <w:r>
              <w:rPr>
                <w:rFonts w:cs="Calibri"/>
                <w:color w:val="000000"/>
                <w:sz w:val="20"/>
                <w:szCs w:val="20"/>
              </w:rPr>
              <w:t>79.8</w:t>
            </w:r>
          </w:p>
        </w:tc>
      </w:tr>
    </w:tbl>
    <w:p w14:paraId="5806BB50" w14:textId="77777777" w:rsidR="006E7BC9" w:rsidRPr="006E7BC9" w:rsidRDefault="006E7BC9" w:rsidP="006E7BC9"/>
    <w:p w14:paraId="65915FEE" w14:textId="31FE8069" w:rsidR="006E7BC9" w:rsidRDefault="006E7BC9" w:rsidP="006E7BC9">
      <w:pPr>
        <w:pStyle w:val="Heading3"/>
        <w:rPr>
          <w:i/>
        </w:rPr>
      </w:pPr>
      <w:bookmarkStart w:id="131" w:name="_Toc509576779"/>
      <w:r>
        <w:t xml:space="preserve">7.2.2 Previous versus current </w:t>
      </w:r>
      <w:r>
        <w:rPr>
          <w:i/>
        </w:rPr>
        <w:t>ex-ante</w:t>
      </w:r>
      <w:bookmarkEnd w:id="131"/>
    </w:p>
    <w:p w14:paraId="0B911071" w14:textId="4C5F7976" w:rsidR="00473271" w:rsidRPr="00473271" w:rsidRDefault="00473271" w:rsidP="00473271">
      <w:r>
        <w:t xml:space="preserve">In this sub-section, we compare the </w:t>
      </w:r>
      <w:r w:rsidRPr="00933F01">
        <w:rPr>
          <w:i/>
        </w:rPr>
        <w:t>ex-ante</w:t>
      </w:r>
      <w:r>
        <w:t xml:space="preserve"> forecast prepared following PY2016 (the “previous study”) to the </w:t>
      </w:r>
      <w:r w:rsidRPr="00933F01">
        <w:rPr>
          <w:i/>
        </w:rPr>
        <w:t>ex-ante</w:t>
      </w:r>
      <w:r>
        <w:t xml:space="preserve"> forecast contained in this study (the “current study”). </w:t>
      </w:r>
      <w:r w:rsidR="005D7928">
        <w:t xml:space="preserve">Table 7.7 </w:t>
      </w:r>
      <w:r>
        <w:t xml:space="preserve">reports the average </w:t>
      </w:r>
      <w:r w:rsidR="005D7928">
        <w:t>RA-window</w:t>
      </w:r>
      <w:r>
        <w:t xml:space="preserve"> load impacts for the August 2018 </w:t>
      </w:r>
      <w:r w:rsidR="00821801">
        <w:t>average weekday</w:t>
      </w:r>
      <w:r>
        <w:t xml:space="preserve"> under utility-specific 1-in-2 weather conditions. </w:t>
      </w:r>
      <w:r w:rsidR="00821801">
        <w:t xml:space="preserve">The TOU peak-period has shifted to a later period (4 to 9 p.m.) in the </w:t>
      </w:r>
      <w:r w:rsidR="005D7928">
        <w:t xml:space="preserve">PY2017 </w:t>
      </w:r>
      <w:r w:rsidR="005D7928">
        <w:rPr>
          <w:i/>
        </w:rPr>
        <w:t>ex-ante</w:t>
      </w:r>
      <w:r w:rsidR="005D7928">
        <w:t xml:space="preserve"> </w:t>
      </w:r>
      <w:r w:rsidR="00821801">
        <w:t xml:space="preserve">analysis, while the peak period used in the PY2016 </w:t>
      </w:r>
      <w:r w:rsidR="00821801">
        <w:rPr>
          <w:i/>
        </w:rPr>
        <w:t>ex-ante</w:t>
      </w:r>
      <w:r w:rsidR="00821801">
        <w:t xml:space="preserve"> analysis has hours that completely overlap with the RA-window, contributing to a larger percentage load impact. </w:t>
      </w:r>
    </w:p>
    <w:p w14:paraId="53C74272" w14:textId="7A7483F8" w:rsidR="007D7373" w:rsidRDefault="007D7373" w:rsidP="007D7373">
      <w:pPr>
        <w:pStyle w:val="TableCaption"/>
        <w:keepNext/>
      </w:pPr>
      <w:bookmarkStart w:id="132" w:name="_Toc509576807"/>
      <w:r>
        <w:t>Table 7.</w:t>
      </w:r>
      <w:r w:rsidR="005D7928">
        <w:t>7</w:t>
      </w:r>
      <w:r>
        <w:t xml:space="preserve"> Comparison of PY2016 </w:t>
      </w:r>
      <w:r>
        <w:rPr>
          <w:i/>
        </w:rPr>
        <w:t>Ex-Ante</w:t>
      </w:r>
      <w:r>
        <w:t xml:space="preserve"> 2018 Forecast</w:t>
      </w:r>
      <w:r>
        <w:rPr>
          <w:i/>
        </w:rPr>
        <w:t xml:space="preserve"> </w:t>
      </w:r>
      <w:r>
        <w:t xml:space="preserve">and PY2017 </w:t>
      </w:r>
      <w:r>
        <w:rPr>
          <w:i/>
        </w:rPr>
        <w:t>Ex-Ante</w:t>
      </w:r>
      <w:r>
        <w:t xml:space="preserve"> 2018 Forecast TOU Load Impacts</w:t>
      </w:r>
      <w:bookmarkEnd w:id="132"/>
    </w:p>
    <w:tbl>
      <w:tblPr>
        <w:tblW w:w="8509" w:type="dxa"/>
        <w:jc w:val="center"/>
        <w:tblLook w:val="04A0" w:firstRow="1" w:lastRow="0" w:firstColumn="1" w:lastColumn="0" w:noHBand="0" w:noVBand="1"/>
      </w:tblPr>
      <w:tblGrid>
        <w:gridCol w:w="1600"/>
        <w:gridCol w:w="3165"/>
        <w:gridCol w:w="1872"/>
        <w:gridCol w:w="1872"/>
      </w:tblGrid>
      <w:tr w:rsidR="007D7373" w:rsidRPr="002238CA" w14:paraId="730EBAA3" w14:textId="77777777" w:rsidTr="005D7928">
        <w:trPr>
          <w:trHeight w:val="244"/>
          <w:jc w:val="center"/>
        </w:trPr>
        <w:tc>
          <w:tcPr>
            <w:tcW w:w="1600" w:type="dxa"/>
            <w:vMerge w:val="restart"/>
            <w:tcBorders>
              <w:top w:val="single" w:sz="4" w:space="0" w:color="auto"/>
              <w:left w:val="single" w:sz="4" w:space="0" w:color="auto"/>
              <w:bottom w:val="single" w:sz="4" w:space="0" w:color="auto"/>
              <w:right w:val="single" w:sz="4" w:space="0" w:color="FFFFFF"/>
            </w:tcBorders>
            <w:shd w:val="clear" w:color="000000" w:fill="132577"/>
            <w:noWrap/>
            <w:vAlign w:val="center"/>
            <w:hideMark/>
          </w:tcPr>
          <w:p w14:paraId="1E4CDFE4" w14:textId="77777777" w:rsidR="007D7373" w:rsidRPr="002238CA" w:rsidRDefault="007D7373" w:rsidP="00821801">
            <w:pPr>
              <w:keepNext/>
              <w:jc w:val="center"/>
              <w:rPr>
                <w:rFonts w:cs="Calibri"/>
                <w:b/>
                <w:bCs/>
                <w:color w:val="FFFFFF"/>
                <w:sz w:val="20"/>
                <w:szCs w:val="20"/>
              </w:rPr>
            </w:pPr>
            <w:r w:rsidRPr="002238CA">
              <w:rPr>
                <w:rFonts w:cs="Calibri"/>
                <w:b/>
                <w:bCs/>
                <w:color w:val="FFFFFF"/>
                <w:sz w:val="20"/>
                <w:szCs w:val="20"/>
              </w:rPr>
              <w:t>Season</w:t>
            </w:r>
          </w:p>
        </w:tc>
        <w:tc>
          <w:tcPr>
            <w:tcW w:w="3165" w:type="dxa"/>
            <w:vMerge w:val="restart"/>
            <w:tcBorders>
              <w:top w:val="single" w:sz="4" w:space="0" w:color="auto"/>
              <w:left w:val="nil"/>
              <w:bottom w:val="single" w:sz="4" w:space="0" w:color="auto"/>
              <w:right w:val="nil"/>
            </w:tcBorders>
            <w:shd w:val="clear" w:color="000000" w:fill="132577"/>
            <w:noWrap/>
            <w:vAlign w:val="center"/>
            <w:hideMark/>
          </w:tcPr>
          <w:p w14:paraId="0635E474" w14:textId="77777777" w:rsidR="007D7373" w:rsidRPr="002238CA" w:rsidRDefault="007D7373" w:rsidP="00821801">
            <w:pPr>
              <w:keepNext/>
              <w:jc w:val="center"/>
              <w:rPr>
                <w:rFonts w:cs="Calibri"/>
                <w:b/>
                <w:bCs/>
                <w:color w:val="FFFFFF"/>
                <w:sz w:val="20"/>
                <w:szCs w:val="20"/>
              </w:rPr>
            </w:pPr>
            <w:r w:rsidRPr="002238CA">
              <w:rPr>
                <w:rFonts w:cs="Calibri"/>
                <w:b/>
                <w:bCs/>
                <w:color w:val="FFFFFF"/>
                <w:sz w:val="20"/>
                <w:szCs w:val="20"/>
              </w:rPr>
              <w:t>Result</w:t>
            </w:r>
          </w:p>
        </w:tc>
        <w:tc>
          <w:tcPr>
            <w:tcW w:w="1872" w:type="dxa"/>
            <w:vMerge w:val="restart"/>
            <w:tcBorders>
              <w:top w:val="single" w:sz="4" w:space="0" w:color="auto"/>
              <w:left w:val="single" w:sz="4" w:space="0" w:color="FFFFFF"/>
              <w:bottom w:val="single" w:sz="4" w:space="0" w:color="auto"/>
              <w:right w:val="single" w:sz="4" w:space="0" w:color="FFFFFF"/>
            </w:tcBorders>
            <w:shd w:val="clear" w:color="000000" w:fill="132577"/>
            <w:vAlign w:val="center"/>
            <w:hideMark/>
          </w:tcPr>
          <w:p w14:paraId="5C89F993" w14:textId="77777777" w:rsidR="007D7373" w:rsidRPr="002238CA" w:rsidRDefault="007D7373" w:rsidP="00821801">
            <w:pPr>
              <w:keepNext/>
              <w:jc w:val="center"/>
              <w:rPr>
                <w:rFonts w:cs="Calibri"/>
                <w:b/>
                <w:bCs/>
                <w:i/>
                <w:iCs/>
                <w:color w:val="FFFFFF"/>
                <w:sz w:val="20"/>
                <w:szCs w:val="20"/>
              </w:rPr>
            </w:pPr>
            <w:r w:rsidRPr="002238CA">
              <w:rPr>
                <w:rFonts w:cs="Calibri"/>
                <w:b/>
                <w:bCs/>
                <w:i/>
                <w:iCs/>
                <w:color w:val="FFFFFF"/>
                <w:sz w:val="20"/>
                <w:szCs w:val="20"/>
              </w:rPr>
              <w:t>Ex-ante for 2018 Avg. Weekday from PY2016 Study</w:t>
            </w:r>
          </w:p>
        </w:tc>
        <w:tc>
          <w:tcPr>
            <w:tcW w:w="1872" w:type="dxa"/>
            <w:vMerge w:val="restart"/>
            <w:tcBorders>
              <w:top w:val="single" w:sz="4" w:space="0" w:color="auto"/>
              <w:left w:val="single" w:sz="4" w:space="0" w:color="FFFFFF"/>
              <w:bottom w:val="single" w:sz="4" w:space="0" w:color="auto"/>
              <w:right w:val="single" w:sz="4" w:space="0" w:color="auto"/>
            </w:tcBorders>
            <w:shd w:val="clear" w:color="000000" w:fill="132577"/>
            <w:vAlign w:val="center"/>
            <w:hideMark/>
          </w:tcPr>
          <w:p w14:paraId="34386886" w14:textId="77777777" w:rsidR="007D7373" w:rsidRPr="002238CA" w:rsidRDefault="007D7373" w:rsidP="00821801">
            <w:pPr>
              <w:keepNext/>
              <w:jc w:val="center"/>
              <w:rPr>
                <w:rFonts w:cs="Calibri"/>
                <w:b/>
                <w:bCs/>
                <w:i/>
                <w:iCs/>
                <w:color w:val="FFFFFF"/>
                <w:sz w:val="20"/>
                <w:szCs w:val="20"/>
              </w:rPr>
            </w:pPr>
            <w:r w:rsidRPr="002238CA">
              <w:rPr>
                <w:rFonts w:cs="Calibri"/>
                <w:b/>
                <w:bCs/>
                <w:i/>
                <w:iCs/>
                <w:color w:val="FFFFFF"/>
                <w:sz w:val="20"/>
                <w:szCs w:val="20"/>
              </w:rPr>
              <w:t>Ex-ante for 2018 Avg. Weekday from PY2017 Study</w:t>
            </w:r>
          </w:p>
        </w:tc>
      </w:tr>
      <w:tr w:rsidR="007D7373" w:rsidRPr="002238CA" w14:paraId="14AF55CF" w14:textId="77777777" w:rsidTr="005D7928">
        <w:trPr>
          <w:trHeight w:val="293"/>
          <w:jc w:val="center"/>
        </w:trPr>
        <w:tc>
          <w:tcPr>
            <w:tcW w:w="1600" w:type="dxa"/>
            <w:vMerge/>
            <w:tcBorders>
              <w:top w:val="single" w:sz="4" w:space="0" w:color="auto"/>
              <w:left w:val="single" w:sz="4" w:space="0" w:color="auto"/>
              <w:bottom w:val="single" w:sz="4" w:space="0" w:color="auto"/>
              <w:right w:val="single" w:sz="4" w:space="0" w:color="FFFFFF"/>
            </w:tcBorders>
            <w:vAlign w:val="center"/>
            <w:hideMark/>
          </w:tcPr>
          <w:p w14:paraId="171AF6E1" w14:textId="77777777" w:rsidR="007D7373" w:rsidRPr="002238CA" w:rsidRDefault="007D7373" w:rsidP="00821801">
            <w:pPr>
              <w:keepNext/>
              <w:rPr>
                <w:rFonts w:cs="Calibri"/>
                <w:b/>
                <w:bCs/>
                <w:color w:val="FFFFFF"/>
                <w:sz w:val="20"/>
                <w:szCs w:val="20"/>
              </w:rPr>
            </w:pPr>
          </w:p>
        </w:tc>
        <w:tc>
          <w:tcPr>
            <w:tcW w:w="3165" w:type="dxa"/>
            <w:vMerge/>
            <w:tcBorders>
              <w:top w:val="single" w:sz="4" w:space="0" w:color="auto"/>
              <w:left w:val="nil"/>
              <w:bottom w:val="single" w:sz="4" w:space="0" w:color="auto"/>
              <w:right w:val="nil"/>
            </w:tcBorders>
            <w:vAlign w:val="center"/>
            <w:hideMark/>
          </w:tcPr>
          <w:p w14:paraId="007DCC5D" w14:textId="77777777" w:rsidR="007D7373" w:rsidRPr="002238CA" w:rsidRDefault="007D7373" w:rsidP="00821801">
            <w:pPr>
              <w:keepNext/>
              <w:rPr>
                <w:rFonts w:cs="Calibri"/>
                <w:b/>
                <w:bCs/>
                <w:color w:val="FFFFFF"/>
                <w:sz w:val="20"/>
                <w:szCs w:val="20"/>
              </w:rPr>
            </w:pPr>
          </w:p>
        </w:tc>
        <w:tc>
          <w:tcPr>
            <w:tcW w:w="1872" w:type="dxa"/>
            <w:vMerge/>
            <w:tcBorders>
              <w:top w:val="single" w:sz="4" w:space="0" w:color="auto"/>
              <w:left w:val="single" w:sz="4" w:space="0" w:color="FFFFFF"/>
              <w:bottom w:val="single" w:sz="4" w:space="0" w:color="auto"/>
              <w:right w:val="single" w:sz="4" w:space="0" w:color="FFFFFF"/>
            </w:tcBorders>
            <w:vAlign w:val="center"/>
            <w:hideMark/>
          </w:tcPr>
          <w:p w14:paraId="7515CF38" w14:textId="77777777" w:rsidR="007D7373" w:rsidRPr="002238CA" w:rsidRDefault="007D7373" w:rsidP="00821801">
            <w:pPr>
              <w:keepNext/>
              <w:rPr>
                <w:rFonts w:cs="Calibri"/>
                <w:b/>
                <w:bCs/>
                <w:i/>
                <w:iCs/>
                <w:color w:val="FFFFFF"/>
                <w:sz w:val="20"/>
                <w:szCs w:val="20"/>
              </w:rPr>
            </w:pPr>
          </w:p>
        </w:tc>
        <w:tc>
          <w:tcPr>
            <w:tcW w:w="1872" w:type="dxa"/>
            <w:vMerge/>
            <w:tcBorders>
              <w:top w:val="single" w:sz="4" w:space="0" w:color="auto"/>
              <w:left w:val="single" w:sz="4" w:space="0" w:color="FFFFFF"/>
              <w:bottom w:val="single" w:sz="4" w:space="0" w:color="auto"/>
              <w:right w:val="single" w:sz="4" w:space="0" w:color="auto"/>
            </w:tcBorders>
            <w:vAlign w:val="center"/>
            <w:hideMark/>
          </w:tcPr>
          <w:p w14:paraId="60BB8377" w14:textId="77777777" w:rsidR="007D7373" w:rsidRPr="002238CA" w:rsidRDefault="007D7373" w:rsidP="00821801">
            <w:pPr>
              <w:keepNext/>
              <w:rPr>
                <w:rFonts w:cs="Calibri"/>
                <w:b/>
                <w:bCs/>
                <w:i/>
                <w:iCs/>
                <w:color w:val="FFFFFF"/>
                <w:sz w:val="20"/>
                <w:szCs w:val="20"/>
              </w:rPr>
            </w:pPr>
          </w:p>
        </w:tc>
      </w:tr>
      <w:tr w:rsidR="007D7373" w:rsidRPr="002238CA" w14:paraId="5133EE18" w14:textId="77777777" w:rsidTr="005D7928">
        <w:trPr>
          <w:trHeight w:val="20"/>
          <w:jc w:val="center"/>
        </w:trPr>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14:paraId="257B970E" w14:textId="77777777" w:rsidR="007D7373" w:rsidRPr="002238CA" w:rsidRDefault="007D7373" w:rsidP="00821801">
            <w:pPr>
              <w:keepNext/>
              <w:jc w:val="center"/>
              <w:rPr>
                <w:rFonts w:cs="Calibri"/>
                <w:b/>
                <w:bCs/>
                <w:color w:val="000000"/>
                <w:sz w:val="20"/>
                <w:szCs w:val="20"/>
              </w:rPr>
            </w:pPr>
            <w:r w:rsidRPr="002238CA">
              <w:rPr>
                <w:rFonts w:cs="Calibri"/>
                <w:b/>
                <w:bCs/>
                <w:color w:val="000000"/>
                <w:sz w:val="20"/>
                <w:szCs w:val="20"/>
              </w:rPr>
              <w:t>Summer (August)</w:t>
            </w:r>
          </w:p>
        </w:tc>
        <w:tc>
          <w:tcPr>
            <w:tcW w:w="3165" w:type="dxa"/>
            <w:tcBorders>
              <w:top w:val="nil"/>
              <w:left w:val="nil"/>
              <w:bottom w:val="single" w:sz="4" w:space="0" w:color="auto"/>
              <w:right w:val="single" w:sz="4" w:space="0" w:color="auto"/>
            </w:tcBorders>
            <w:shd w:val="clear" w:color="auto" w:fill="auto"/>
            <w:noWrap/>
            <w:vAlign w:val="center"/>
            <w:hideMark/>
          </w:tcPr>
          <w:p w14:paraId="115EB80D" w14:textId="77777777" w:rsidR="007D7373" w:rsidRPr="002238CA" w:rsidRDefault="007D7373" w:rsidP="00821801">
            <w:pPr>
              <w:keepNext/>
              <w:rPr>
                <w:rFonts w:cs="Calibri"/>
                <w:color w:val="000000"/>
                <w:sz w:val="20"/>
                <w:szCs w:val="20"/>
              </w:rPr>
            </w:pPr>
            <w:r w:rsidRPr="002238CA">
              <w:rPr>
                <w:rFonts w:cs="Calibri"/>
                <w:color w:val="000000"/>
                <w:sz w:val="20"/>
                <w:szCs w:val="20"/>
              </w:rPr>
              <w:t># Enrolled</w:t>
            </w:r>
          </w:p>
        </w:tc>
        <w:tc>
          <w:tcPr>
            <w:tcW w:w="1872" w:type="dxa"/>
            <w:tcBorders>
              <w:top w:val="nil"/>
              <w:left w:val="nil"/>
              <w:bottom w:val="single" w:sz="4" w:space="0" w:color="auto"/>
              <w:right w:val="single" w:sz="4" w:space="0" w:color="auto"/>
            </w:tcBorders>
            <w:shd w:val="clear" w:color="auto" w:fill="auto"/>
            <w:noWrap/>
            <w:vAlign w:val="center"/>
            <w:hideMark/>
          </w:tcPr>
          <w:p w14:paraId="79C77488" w14:textId="77777777" w:rsidR="007D7373" w:rsidRPr="002238CA" w:rsidRDefault="007D7373" w:rsidP="00821801">
            <w:pPr>
              <w:keepNext/>
              <w:jc w:val="center"/>
              <w:rPr>
                <w:rFonts w:cs="Calibri"/>
                <w:color w:val="000000"/>
                <w:sz w:val="20"/>
                <w:szCs w:val="20"/>
              </w:rPr>
            </w:pPr>
            <w:r>
              <w:rPr>
                <w:rFonts w:cs="Calibri"/>
                <w:color w:val="000000"/>
                <w:sz w:val="20"/>
                <w:szCs w:val="20"/>
              </w:rPr>
              <w:t>4,722</w:t>
            </w:r>
          </w:p>
        </w:tc>
        <w:tc>
          <w:tcPr>
            <w:tcW w:w="1872" w:type="dxa"/>
            <w:tcBorders>
              <w:top w:val="nil"/>
              <w:left w:val="nil"/>
              <w:bottom w:val="single" w:sz="4" w:space="0" w:color="auto"/>
              <w:right w:val="single" w:sz="4" w:space="0" w:color="auto"/>
            </w:tcBorders>
            <w:shd w:val="clear" w:color="auto" w:fill="auto"/>
            <w:noWrap/>
            <w:vAlign w:val="center"/>
            <w:hideMark/>
          </w:tcPr>
          <w:p w14:paraId="73CE6CE1" w14:textId="77777777" w:rsidR="007D7373" w:rsidRPr="002238CA" w:rsidRDefault="007D7373" w:rsidP="00821801">
            <w:pPr>
              <w:keepNext/>
              <w:jc w:val="center"/>
              <w:rPr>
                <w:rFonts w:cs="Calibri"/>
                <w:color w:val="000000"/>
                <w:sz w:val="20"/>
                <w:szCs w:val="20"/>
              </w:rPr>
            </w:pPr>
            <w:r>
              <w:rPr>
                <w:rFonts w:cs="Calibri"/>
                <w:color w:val="000000"/>
                <w:sz w:val="20"/>
                <w:szCs w:val="20"/>
              </w:rPr>
              <w:t>7,096</w:t>
            </w:r>
          </w:p>
        </w:tc>
      </w:tr>
      <w:tr w:rsidR="007D7373" w:rsidRPr="002238CA" w14:paraId="27E03BC9" w14:textId="77777777" w:rsidTr="005D7928">
        <w:trPr>
          <w:trHeight w:val="20"/>
          <w:jc w:val="center"/>
        </w:trPr>
        <w:tc>
          <w:tcPr>
            <w:tcW w:w="1600" w:type="dxa"/>
            <w:vMerge/>
            <w:tcBorders>
              <w:top w:val="nil"/>
              <w:left w:val="single" w:sz="4" w:space="0" w:color="auto"/>
              <w:bottom w:val="single" w:sz="4" w:space="0" w:color="auto"/>
              <w:right w:val="single" w:sz="4" w:space="0" w:color="auto"/>
            </w:tcBorders>
            <w:vAlign w:val="center"/>
            <w:hideMark/>
          </w:tcPr>
          <w:p w14:paraId="50420062" w14:textId="77777777" w:rsidR="007D7373" w:rsidRPr="002238CA" w:rsidRDefault="007D7373" w:rsidP="00821801">
            <w:pPr>
              <w:keepNext/>
              <w:rPr>
                <w:rFonts w:cs="Calibri"/>
                <w:b/>
                <w:bCs/>
                <w:color w:val="000000"/>
                <w:sz w:val="20"/>
                <w:szCs w:val="20"/>
              </w:rPr>
            </w:pPr>
          </w:p>
        </w:tc>
        <w:tc>
          <w:tcPr>
            <w:tcW w:w="3165" w:type="dxa"/>
            <w:tcBorders>
              <w:top w:val="nil"/>
              <w:left w:val="nil"/>
              <w:bottom w:val="single" w:sz="4" w:space="0" w:color="auto"/>
              <w:right w:val="single" w:sz="4" w:space="0" w:color="auto"/>
            </w:tcBorders>
            <w:shd w:val="clear" w:color="auto" w:fill="auto"/>
            <w:noWrap/>
            <w:vAlign w:val="center"/>
            <w:hideMark/>
          </w:tcPr>
          <w:p w14:paraId="0F159E80" w14:textId="77777777" w:rsidR="007D7373" w:rsidRPr="002238CA" w:rsidRDefault="007D7373" w:rsidP="00821801">
            <w:pPr>
              <w:keepNext/>
              <w:rPr>
                <w:rFonts w:cs="Calibri"/>
                <w:color w:val="000000"/>
                <w:sz w:val="20"/>
                <w:szCs w:val="20"/>
              </w:rPr>
            </w:pPr>
            <w:r w:rsidRPr="002238CA">
              <w:rPr>
                <w:rFonts w:cs="Calibri"/>
                <w:color w:val="000000"/>
                <w:sz w:val="20"/>
                <w:szCs w:val="20"/>
              </w:rPr>
              <w:t>Reference (MWh/h)</w:t>
            </w:r>
          </w:p>
        </w:tc>
        <w:tc>
          <w:tcPr>
            <w:tcW w:w="1872" w:type="dxa"/>
            <w:tcBorders>
              <w:top w:val="nil"/>
              <w:left w:val="nil"/>
              <w:bottom w:val="single" w:sz="4" w:space="0" w:color="auto"/>
              <w:right w:val="single" w:sz="4" w:space="0" w:color="auto"/>
            </w:tcBorders>
            <w:shd w:val="clear" w:color="auto" w:fill="auto"/>
            <w:noWrap/>
            <w:vAlign w:val="center"/>
            <w:hideMark/>
          </w:tcPr>
          <w:p w14:paraId="4B6E4162" w14:textId="77777777" w:rsidR="007D7373" w:rsidRPr="002238CA" w:rsidRDefault="007D7373" w:rsidP="00821801">
            <w:pPr>
              <w:keepNext/>
              <w:jc w:val="center"/>
              <w:rPr>
                <w:rFonts w:cs="Calibri"/>
                <w:color w:val="000000"/>
                <w:sz w:val="20"/>
                <w:szCs w:val="20"/>
              </w:rPr>
            </w:pPr>
            <w:r>
              <w:rPr>
                <w:rFonts w:cs="Calibri"/>
                <w:color w:val="000000"/>
                <w:sz w:val="20"/>
                <w:szCs w:val="20"/>
              </w:rPr>
              <w:t>4.93</w:t>
            </w:r>
          </w:p>
        </w:tc>
        <w:tc>
          <w:tcPr>
            <w:tcW w:w="1872" w:type="dxa"/>
            <w:tcBorders>
              <w:top w:val="nil"/>
              <w:left w:val="nil"/>
              <w:bottom w:val="single" w:sz="4" w:space="0" w:color="auto"/>
              <w:right w:val="single" w:sz="4" w:space="0" w:color="auto"/>
            </w:tcBorders>
            <w:shd w:val="clear" w:color="auto" w:fill="auto"/>
            <w:noWrap/>
            <w:vAlign w:val="center"/>
            <w:hideMark/>
          </w:tcPr>
          <w:p w14:paraId="5FCF1EDF" w14:textId="77777777" w:rsidR="007D7373" w:rsidRPr="002238CA" w:rsidRDefault="007D7373" w:rsidP="00821801">
            <w:pPr>
              <w:keepNext/>
              <w:jc w:val="center"/>
              <w:rPr>
                <w:rFonts w:cs="Calibri"/>
                <w:color w:val="000000"/>
                <w:sz w:val="20"/>
                <w:szCs w:val="20"/>
              </w:rPr>
            </w:pPr>
            <w:r>
              <w:rPr>
                <w:rFonts w:cs="Calibri"/>
                <w:color w:val="000000"/>
                <w:sz w:val="20"/>
                <w:szCs w:val="20"/>
              </w:rPr>
              <w:t>7.31</w:t>
            </w:r>
          </w:p>
        </w:tc>
      </w:tr>
      <w:tr w:rsidR="007D7373" w:rsidRPr="002238CA" w14:paraId="4BCEC9AE" w14:textId="77777777" w:rsidTr="005D7928">
        <w:trPr>
          <w:trHeight w:val="20"/>
          <w:jc w:val="center"/>
        </w:trPr>
        <w:tc>
          <w:tcPr>
            <w:tcW w:w="1600" w:type="dxa"/>
            <w:vMerge/>
            <w:tcBorders>
              <w:top w:val="nil"/>
              <w:left w:val="single" w:sz="4" w:space="0" w:color="auto"/>
              <w:bottom w:val="single" w:sz="4" w:space="0" w:color="auto"/>
              <w:right w:val="single" w:sz="4" w:space="0" w:color="auto"/>
            </w:tcBorders>
            <w:vAlign w:val="center"/>
            <w:hideMark/>
          </w:tcPr>
          <w:p w14:paraId="606261A3" w14:textId="77777777" w:rsidR="007D7373" w:rsidRPr="002238CA" w:rsidRDefault="007D7373" w:rsidP="00821801">
            <w:pPr>
              <w:keepNext/>
              <w:rPr>
                <w:rFonts w:cs="Calibri"/>
                <w:b/>
                <w:bCs/>
                <w:color w:val="000000"/>
                <w:sz w:val="20"/>
                <w:szCs w:val="20"/>
              </w:rPr>
            </w:pPr>
          </w:p>
        </w:tc>
        <w:tc>
          <w:tcPr>
            <w:tcW w:w="3165" w:type="dxa"/>
            <w:tcBorders>
              <w:top w:val="nil"/>
              <w:left w:val="nil"/>
              <w:bottom w:val="single" w:sz="4" w:space="0" w:color="auto"/>
              <w:right w:val="single" w:sz="4" w:space="0" w:color="auto"/>
            </w:tcBorders>
            <w:shd w:val="clear" w:color="auto" w:fill="auto"/>
            <w:noWrap/>
            <w:vAlign w:val="center"/>
            <w:hideMark/>
          </w:tcPr>
          <w:p w14:paraId="39489F54" w14:textId="77777777" w:rsidR="007D7373" w:rsidRPr="002238CA" w:rsidRDefault="007D7373" w:rsidP="00821801">
            <w:pPr>
              <w:keepNext/>
              <w:rPr>
                <w:rFonts w:cs="Calibri"/>
                <w:color w:val="000000"/>
                <w:sz w:val="20"/>
                <w:szCs w:val="20"/>
              </w:rPr>
            </w:pPr>
            <w:r w:rsidRPr="002238CA">
              <w:rPr>
                <w:rFonts w:cs="Calibri"/>
                <w:color w:val="000000"/>
                <w:sz w:val="20"/>
                <w:szCs w:val="20"/>
              </w:rPr>
              <w:t>Load Impact (MWh/h)</w:t>
            </w:r>
          </w:p>
        </w:tc>
        <w:tc>
          <w:tcPr>
            <w:tcW w:w="1872" w:type="dxa"/>
            <w:tcBorders>
              <w:top w:val="nil"/>
              <w:left w:val="nil"/>
              <w:bottom w:val="single" w:sz="4" w:space="0" w:color="auto"/>
              <w:right w:val="single" w:sz="4" w:space="0" w:color="auto"/>
            </w:tcBorders>
            <w:shd w:val="clear" w:color="auto" w:fill="auto"/>
            <w:noWrap/>
            <w:vAlign w:val="center"/>
            <w:hideMark/>
          </w:tcPr>
          <w:p w14:paraId="32152FAF" w14:textId="77777777" w:rsidR="007D7373" w:rsidRPr="002238CA" w:rsidRDefault="007D7373" w:rsidP="00821801">
            <w:pPr>
              <w:keepNext/>
              <w:jc w:val="center"/>
              <w:rPr>
                <w:rFonts w:cs="Calibri"/>
                <w:color w:val="000000"/>
                <w:sz w:val="20"/>
                <w:szCs w:val="20"/>
              </w:rPr>
            </w:pPr>
            <w:r>
              <w:rPr>
                <w:rFonts w:cs="Calibri"/>
                <w:color w:val="000000"/>
                <w:sz w:val="20"/>
                <w:szCs w:val="20"/>
              </w:rPr>
              <w:t>0.31</w:t>
            </w:r>
          </w:p>
        </w:tc>
        <w:tc>
          <w:tcPr>
            <w:tcW w:w="1872" w:type="dxa"/>
            <w:tcBorders>
              <w:top w:val="nil"/>
              <w:left w:val="nil"/>
              <w:bottom w:val="single" w:sz="4" w:space="0" w:color="auto"/>
              <w:right w:val="single" w:sz="4" w:space="0" w:color="auto"/>
            </w:tcBorders>
            <w:shd w:val="clear" w:color="auto" w:fill="auto"/>
            <w:noWrap/>
            <w:vAlign w:val="center"/>
            <w:hideMark/>
          </w:tcPr>
          <w:p w14:paraId="71D32211" w14:textId="77777777" w:rsidR="007D7373" w:rsidRPr="002238CA" w:rsidRDefault="007D7373" w:rsidP="00821801">
            <w:pPr>
              <w:keepNext/>
              <w:jc w:val="center"/>
              <w:rPr>
                <w:rFonts w:cs="Calibri"/>
                <w:color w:val="000000"/>
                <w:sz w:val="20"/>
                <w:szCs w:val="20"/>
              </w:rPr>
            </w:pPr>
            <w:r>
              <w:rPr>
                <w:rFonts w:cs="Calibri"/>
                <w:color w:val="000000"/>
                <w:sz w:val="20"/>
                <w:szCs w:val="20"/>
              </w:rPr>
              <w:t>0.23</w:t>
            </w:r>
          </w:p>
        </w:tc>
      </w:tr>
      <w:tr w:rsidR="007D7373" w:rsidRPr="002238CA" w14:paraId="63065FA3" w14:textId="77777777" w:rsidTr="005D7928">
        <w:trPr>
          <w:trHeight w:val="20"/>
          <w:jc w:val="center"/>
        </w:trPr>
        <w:tc>
          <w:tcPr>
            <w:tcW w:w="1600" w:type="dxa"/>
            <w:vMerge/>
            <w:tcBorders>
              <w:top w:val="nil"/>
              <w:left w:val="single" w:sz="4" w:space="0" w:color="auto"/>
              <w:bottom w:val="single" w:sz="4" w:space="0" w:color="auto"/>
              <w:right w:val="single" w:sz="4" w:space="0" w:color="auto"/>
            </w:tcBorders>
            <w:vAlign w:val="center"/>
            <w:hideMark/>
          </w:tcPr>
          <w:p w14:paraId="571BFA71" w14:textId="77777777" w:rsidR="007D7373" w:rsidRPr="002238CA" w:rsidRDefault="007D7373" w:rsidP="00821801">
            <w:pPr>
              <w:keepNext/>
              <w:rPr>
                <w:rFonts w:cs="Calibri"/>
                <w:b/>
                <w:bCs/>
                <w:color w:val="000000"/>
                <w:sz w:val="20"/>
                <w:szCs w:val="20"/>
              </w:rPr>
            </w:pPr>
          </w:p>
        </w:tc>
        <w:tc>
          <w:tcPr>
            <w:tcW w:w="3165" w:type="dxa"/>
            <w:tcBorders>
              <w:top w:val="nil"/>
              <w:left w:val="nil"/>
              <w:bottom w:val="single" w:sz="4" w:space="0" w:color="auto"/>
              <w:right w:val="single" w:sz="4" w:space="0" w:color="auto"/>
            </w:tcBorders>
            <w:shd w:val="clear" w:color="auto" w:fill="auto"/>
            <w:noWrap/>
            <w:vAlign w:val="center"/>
            <w:hideMark/>
          </w:tcPr>
          <w:p w14:paraId="67639FE8" w14:textId="77777777" w:rsidR="007D7373" w:rsidRPr="002238CA" w:rsidRDefault="007D7373" w:rsidP="00821801">
            <w:pPr>
              <w:keepNext/>
              <w:rPr>
                <w:rFonts w:cs="Calibri"/>
                <w:color w:val="000000"/>
                <w:sz w:val="20"/>
                <w:szCs w:val="20"/>
              </w:rPr>
            </w:pPr>
            <w:r w:rsidRPr="002238CA">
              <w:rPr>
                <w:rFonts w:cs="Calibri"/>
                <w:color w:val="000000"/>
                <w:sz w:val="20"/>
                <w:szCs w:val="20"/>
              </w:rPr>
              <w:t>Per-customer reference (kWh/h)</w:t>
            </w:r>
          </w:p>
        </w:tc>
        <w:tc>
          <w:tcPr>
            <w:tcW w:w="1872" w:type="dxa"/>
            <w:tcBorders>
              <w:top w:val="nil"/>
              <w:left w:val="nil"/>
              <w:bottom w:val="single" w:sz="4" w:space="0" w:color="auto"/>
              <w:right w:val="single" w:sz="4" w:space="0" w:color="auto"/>
            </w:tcBorders>
            <w:shd w:val="clear" w:color="auto" w:fill="auto"/>
            <w:noWrap/>
            <w:vAlign w:val="center"/>
            <w:hideMark/>
          </w:tcPr>
          <w:p w14:paraId="73FA85D5" w14:textId="77777777" w:rsidR="007D7373" w:rsidRPr="002238CA" w:rsidRDefault="007D7373" w:rsidP="00821801">
            <w:pPr>
              <w:keepNext/>
              <w:jc w:val="center"/>
              <w:rPr>
                <w:rFonts w:cs="Calibri"/>
                <w:color w:val="000000"/>
                <w:sz w:val="20"/>
                <w:szCs w:val="20"/>
              </w:rPr>
            </w:pPr>
            <w:r>
              <w:rPr>
                <w:rFonts w:cs="Calibri"/>
                <w:color w:val="000000"/>
                <w:sz w:val="20"/>
                <w:szCs w:val="20"/>
              </w:rPr>
              <w:t>1.05</w:t>
            </w:r>
          </w:p>
        </w:tc>
        <w:tc>
          <w:tcPr>
            <w:tcW w:w="1872" w:type="dxa"/>
            <w:tcBorders>
              <w:top w:val="nil"/>
              <w:left w:val="nil"/>
              <w:bottom w:val="single" w:sz="4" w:space="0" w:color="auto"/>
              <w:right w:val="single" w:sz="4" w:space="0" w:color="auto"/>
            </w:tcBorders>
            <w:shd w:val="clear" w:color="auto" w:fill="auto"/>
            <w:noWrap/>
            <w:vAlign w:val="center"/>
            <w:hideMark/>
          </w:tcPr>
          <w:p w14:paraId="6CED3490" w14:textId="77777777" w:rsidR="007D7373" w:rsidRPr="002238CA" w:rsidRDefault="007D7373" w:rsidP="00821801">
            <w:pPr>
              <w:keepNext/>
              <w:jc w:val="center"/>
              <w:rPr>
                <w:rFonts w:cs="Calibri"/>
                <w:color w:val="000000"/>
                <w:sz w:val="20"/>
                <w:szCs w:val="20"/>
              </w:rPr>
            </w:pPr>
            <w:r>
              <w:rPr>
                <w:rFonts w:cs="Calibri"/>
                <w:color w:val="000000"/>
                <w:sz w:val="20"/>
                <w:szCs w:val="20"/>
              </w:rPr>
              <w:t>1.03</w:t>
            </w:r>
          </w:p>
        </w:tc>
      </w:tr>
      <w:tr w:rsidR="007D7373" w:rsidRPr="002238CA" w14:paraId="5A9489A3" w14:textId="77777777" w:rsidTr="005D7928">
        <w:trPr>
          <w:trHeight w:val="20"/>
          <w:jc w:val="center"/>
        </w:trPr>
        <w:tc>
          <w:tcPr>
            <w:tcW w:w="1600" w:type="dxa"/>
            <w:vMerge/>
            <w:tcBorders>
              <w:top w:val="nil"/>
              <w:left w:val="single" w:sz="4" w:space="0" w:color="auto"/>
              <w:bottom w:val="single" w:sz="4" w:space="0" w:color="auto"/>
              <w:right w:val="single" w:sz="4" w:space="0" w:color="auto"/>
            </w:tcBorders>
            <w:vAlign w:val="center"/>
            <w:hideMark/>
          </w:tcPr>
          <w:p w14:paraId="068FDCA4" w14:textId="77777777" w:rsidR="007D7373" w:rsidRPr="002238CA" w:rsidRDefault="007D7373" w:rsidP="00821801">
            <w:pPr>
              <w:keepNext/>
              <w:rPr>
                <w:rFonts w:cs="Calibri"/>
                <w:b/>
                <w:bCs/>
                <w:color w:val="000000"/>
                <w:sz w:val="20"/>
                <w:szCs w:val="20"/>
              </w:rPr>
            </w:pPr>
          </w:p>
        </w:tc>
        <w:tc>
          <w:tcPr>
            <w:tcW w:w="3165" w:type="dxa"/>
            <w:tcBorders>
              <w:top w:val="nil"/>
              <w:left w:val="nil"/>
              <w:bottom w:val="single" w:sz="4" w:space="0" w:color="auto"/>
              <w:right w:val="single" w:sz="4" w:space="0" w:color="auto"/>
            </w:tcBorders>
            <w:shd w:val="clear" w:color="auto" w:fill="auto"/>
            <w:noWrap/>
            <w:vAlign w:val="center"/>
            <w:hideMark/>
          </w:tcPr>
          <w:p w14:paraId="58102CAF" w14:textId="77777777" w:rsidR="007D7373" w:rsidRPr="002238CA" w:rsidRDefault="007D7373" w:rsidP="00821801">
            <w:pPr>
              <w:keepNext/>
              <w:rPr>
                <w:rFonts w:cs="Calibri"/>
                <w:color w:val="000000"/>
                <w:sz w:val="20"/>
                <w:szCs w:val="20"/>
              </w:rPr>
            </w:pPr>
            <w:r w:rsidRPr="002238CA">
              <w:rPr>
                <w:rFonts w:cs="Calibri"/>
                <w:color w:val="000000"/>
                <w:sz w:val="20"/>
                <w:szCs w:val="20"/>
              </w:rPr>
              <w:t>Per-customer load impact (kWh/h)</w:t>
            </w:r>
          </w:p>
        </w:tc>
        <w:tc>
          <w:tcPr>
            <w:tcW w:w="1872" w:type="dxa"/>
            <w:tcBorders>
              <w:top w:val="nil"/>
              <w:left w:val="nil"/>
              <w:bottom w:val="single" w:sz="4" w:space="0" w:color="auto"/>
              <w:right w:val="single" w:sz="4" w:space="0" w:color="auto"/>
            </w:tcBorders>
            <w:shd w:val="clear" w:color="auto" w:fill="auto"/>
            <w:noWrap/>
            <w:vAlign w:val="center"/>
            <w:hideMark/>
          </w:tcPr>
          <w:p w14:paraId="7F8F1CBF" w14:textId="77777777" w:rsidR="007D7373" w:rsidRPr="002238CA" w:rsidRDefault="007D7373" w:rsidP="00821801">
            <w:pPr>
              <w:keepNext/>
              <w:jc w:val="center"/>
              <w:rPr>
                <w:rFonts w:cs="Calibri"/>
                <w:color w:val="000000"/>
                <w:sz w:val="20"/>
                <w:szCs w:val="20"/>
              </w:rPr>
            </w:pPr>
            <w:r>
              <w:rPr>
                <w:rFonts w:cs="Calibri"/>
                <w:color w:val="000000"/>
                <w:sz w:val="20"/>
                <w:szCs w:val="20"/>
              </w:rPr>
              <w:t>0.07</w:t>
            </w:r>
          </w:p>
        </w:tc>
        <w:tc>
          <w:tcPr>
            <w:tcW w:w="1872" w:type="dxa"/>
            <w:tcBorders>
              <w:top w:val="nil"/>
              <w:left w:val="nil"/>
              <w:bottom w:val="single" w:sz="4" w:space="0" w:color="auto"/>
              <w:right w:val="single" w:sz="4" w:space="0" w:color="auto"/>
            </w:tcBorders>
            <w:shd w:val="clear" w:color="auto" w:fill="auto"/>
            <w:noWrap/>
            <w:vAlign w:val="center"/>
            <w:hideMark/>
          </w:tcPr>
          <w:p w14:paraId="304ED029" w14:textId="77777777" w:rsidR="007D7373" w:rsidRPr="002238CA" w:rsidRDefault="007D7373" w:rsidP="00821801">
            <w:pPr>
              <w:keepNext/>
              <w:jc w:val="center"/>
              <w:rPr>
                <w:rFonts w:cs="Calibri"/>
                <w:color w:val="000000"/>
                <w:sz w:val="20"/>
                <w:szCs w:val="20"/>
              </w:rPr>
            </w:pPr>
            <w:r>
              <w:rPr>
                <w:rFonts w:cs="Calibri"/>
                <w:color w:val="000000"/>
                <w:sz w:val="20"/>
                <w:szCs w:val="20"/>
              </w:rPr>
              <w:t>0.03</w:t>
            </w:r>
          </w:p>
        </w:tc>
      </w:tr>
      <w:tr w:rsidR="007D7373" w:rsidRPr="002238CA" w14:paraId="56546EE0" w14:textId="77777777" w:rsidTr="005D7928">
        <w:trPr>
          <w:trHeight w:val="20"/>
          <w:jc w:val="center"/>
        </w:trPr>
        <w:tc>
          <w:tcPr>
            <w:tcW w:w="1600" w:type="dxa"/>
            <w:vMerge/>
            <w:tcBorders>
              <w:top w:val="nil"/>
              <w:left w:val="single" w:sz="4" w:space="0" w:color="auto"/>
              <w:bottom w:val="single" w:sz="4" w:space="0" w:color="auto"/>
              <w:right w:val="single" w:sz="4" w:space="0" w:color="auto"/>
            </w:tcBorders>
            <w:vAlign w:val="center"/>
            <w:hideMark/>
          </w:tcPr>
          <w:p w14:paraId="0F711CC4" w14:textId="77777777" w:rsidR="007D7373" w:rsidRPr="002238CA" w:rsidRDefault="007D7373" w:rsidP="00821801">
            <w:pPr>
              <w:keepNext/>
              <w:rPr>
                <w:rFonts w:cs="Calibri"/>
                <w:b/>
                <w:bCs/>
                <w:color w:val="000000"/>
                <w:sz w:val="20"/>
                <w:szCs w:val="20"/>
              </w:rPr>
            </w:pPr>
          </w:p>
        </w:tc>
        <w:tc>
          <w:tcPr>
            <w:tcW w:w="3165" w:type="dxa"/>
            <w:tcBorders>
              <w:top w:val="nil"/>
              <w:left w:val="nil"/>
              <w:bottom w:val="single" w:sz="4" w:space="0" w:color="auto"/>
              <w:right w:val="single" w:sz="4" w:space="0" w:color="auto"/>
            </w:tcBorders>
            <w:shd w:val="clear" w:color="auto" w:fill="auto"/>
            <w:noWrap/>
            <w:vAlign w:val="center"/>
            <w:hideMark/>
          </w:tcPr>
          <w:p w14:paraId="016949EC" w14:textId="77777777" w:rsidR="007D7373" w:rsidRPr="002238CA" w:rsidRDefault="007D7373" w:rsidP="00821801">
            <w:pPr>
              <w:keepNext/>
              <w:rPr>
                <w:rFonts w:cs="Calibri"/>
                <w:color w:val="000000"/>
                <w:sz w:val="20"/>
                <w:szCs w:val="20"/>
              </w:rPr>
            </w:pPr>
            <w:r w:rsidRPr="002238CA">
              <w:rPr>
                <w:rFonts w:cs="Calibri"/>
                <w:color w:val="000000"/>
                <w:sz w:val="20"/>
                <w:szCs w:val="20"/>
              </w:rPr>
              <w:t>% Load Impact</w:t>
            </w:r>
          </w:p>
        </w:tc>
        <w:tc>
          <w:tcPr>
            <w:tcW w:w="1872" w:type="dxa"/>
            <w:tcBorders>
              <w:top w:val="nil"/>
              <w:left w:val="nil"/>
              <w:bottom w:val="single" w:sz="4" w:space="0" w:color="auto"/>
              <w:right w:val="single" w:sz="4" w:space="0" w:color="auto"/>
            </w:tcBorders>
            <w:shd w:val="clear" w:color="auto" w:fill="auto"/>
            <w:noWrap/>
            <w:vAlign w:val="center"/>
            <w:hideMark/>
          </w:tcPr>
          <w:p w14:paraId="3F45977C" w14:textId="77777777" w:rsidR="007D7373" w:rsidRPr="002238CA" w:rsidRDefault="007D7373" w:rsidP="00821801">
            <w:pPr>
              <w:keepNext/>
              <w:jc w:val="center"/>
              <w:rPr>
                <w:rFonts w:cs="Calibri"/>
                <w:color w:val="000000"/>
                <w:sz w:val="20"/>
                <w:szCs w:val="20"/>
              </w:rPr>
            </w:pPr>
            <w:r>
              <w:rPr>
                <w:rFonts w:cs="Calibri"/>
                <w:color w:val="000000"/>
                <w:sz w:val="20"/>
                <w:szCs w:val="20"/>
              </w:rPr>
              <w:t>6.34%</w:t>
            </w:r>
          </w:p>
        </w:tc>
        <w:tc>
          <w:tcPr>
            <w:tcW w:w="1872" w:type="dxa"/>
            <w:tcBorders>
              <w:top w:val="nil"/>
              <w:left w:val="nil"/>
              <w:bottom w:val="single" w:sz="4" w:space="0" w:color="auto"/>
              <w:right w:val="single" w:sz="4" w:space="0" w:color="auto"/>
            </w:tcBorders>
            <w:shd w:val="clear" w:color="auto" w:fill="auto"/>
            <w:noWrap/>
            <w:vAlign w:val="center"/>
            <w:hideMark/>
          </w:tcPr>
          <w:p w14:paraId="6BD14517" w14:textId="77777777" w:rsidR="007D7373" w:rsidRPr="002238CA" w:rsidRDefault="007D7373" w:rsidP="00821801">
            <w:pPr>
              <w:keepNext/>
              <w:jc w:val="center"/>
              <w:rPr>
                <w:rFonts w:cs="Calibri"/>
                <w:color w:val="000000"/>
                <w:sz w:val="20"/>
                <w:szCs w:val="20"/>
              </w:rPr>
            </w:pPr>
            <w:r>
              <w:rPr>
                <w:rFonts w:cs="Calibri"/>
                <w:color w:val="000000"/>
                <w:sz w:val="20"/>
                <w:szCs w:val="20"/>
              </w:rPr>
              <w:t>3.09%</w:t>
            </w:r>
          </w:p>
        </w:tc>
      </w:tr>
      <w:tr w:rsidR="007D7373" w:rsidRPr="002238CA" w14:paraId="0EF0A8CA" w14:textId="77777777" w:rsidTr="005D7928">
        <w:trPr>
          <w:trHeight w:val="20"/>
          <w:jc w:val="center"/>
        </w:trPr>
        <w:tc>
          <w:tcPr>
            <w:tcW w:w="1600" w:type="dxa"/>
            <w:vMerge/>
            <w:tcBorders>
              <w:top w:val="nil"/>
              <w:left w:val="single" w:sz="4" w:space="0" w:color="auto"/>
              <w:bottom w:val="single" w:sz="4" w:space="0" w:color="auto"/>
              <w:right w:val="single" w:sz="4" w:space="0" w:color="auto"/>
            </w:tcBorders>
            <w:vAlign w:val="center"/>
            <w:hideMark/>
          </w:tcPr>
          <w:p w14:paraId="002E7A65" w14:textId="77777777" w:rsidR="007D7373" w:rsidRPr="002238CA" w:rsidRDefault="007D7373" w:rsidP="00821801">
            <w:pPr>
              <w:keepNext/>
              <w:rPr>
                <w:rFonts w:cs="Calibri"/>
                <w:b/>
                <w:bCs/>
                <w:color w:val="000000"/>
                <w:sz w:val="20"/>
                <w:szCs w:val="20"/>
              </w:rPr>
            </w:pPr>
          </w:p>
        </w:tc>
        <w:tc>
          <w:tcPr>
            <w:tcW w:w="3165" w:type="dxa"/>
            <w:tcBorders>
              <w:top w:val="nil"/>
              <w:left w:val="nil"/>
              <w:bottom w:val="single" w:sz="4" w:space="0" w:color="auto"/>
              <w:right w:val="single" w:sz="4" w:space="0" w:color="auto"/>
            </w:tcBorders>
            <w:shd w:val="clear" w:color="auto" w:fill="auto"/>
            <w:noWrap/>
            <w:vAlign w:val="center"/>
            <w:hideMark/>
          </w:tcPr>
          <w:p w14:paraId="121A2134" w14:textId="77777777" w:rsidR="007D7373" w:rsidRPr="002238CA" w:rsidRDefault="007D7373" w:rsidP="00821801">
            <w:pPr>
              <w:keepNext/>
              <w:rPr>
                <w:rFonts w:cs="Calibri"/>
                <w:color w:val="000000"/>
                <w:sz w:val="20"/>
                <w:szCs w:val="20"/>
              </w:rPr>
            </w:pPr>
            <w:r w:rsidRPr="002238CA">
              <w:rPr>
                <w:rFonts w:cs="Calibri"/>
                <w:color w:val="000000"/>
                <w:sz w:val="20"/>
                <w:szCs w:val="20"/>
              </w:rPr>
              <w:t>Temperature</w:t>
            </w:r>
          </w:p>
        </w:tc>
        <w:tc>
          <w:tcPr>
            <w:tcW w:w="1872" w:type="dxa"/>
            <w:tcBorders>
              <w:top w:val="nil"/>
              <w:left w:val="nil"/>
              <w:bottom w:val="single" w:sz="4" w:space="0" w:color="auto"/>
              <w:right w:val="single" w:sz="4" w:space="0" w:color="auto"/>
            </w:tcBorders>
            <w:shd w:val="clear" w:color="auto" w:fill="auto"/>
            <w:noWrap/>
            <w:vAlign w:val="center"/>
            <w:hideMark/>
          </w:tcPr>
          <w:p w14:paraId="0F787753" w14:textId="77777777" w:rsidR="007D7373" w:rsidRPr="002238CA" w:rsidRDefault="007D7373" w:rsidP="00821801">
            <w:pPr>
              <w:keepNext/>
              <w:jc w:val="center"/>
              <w:rPr>
                <w:rFonts w:cs="Calibri"/>
                <w:color w:val="000000"/>
                <w:sz w:val="20"/>
                <w:szCs w:val="20"/>
              </w:rPr>
            </w:pPr>
            <w:r>
              <w:rPr>
                <w:rFonts w:cs="Calibri"/>
                <w:color w:val="000000"/>
                <w:sz w:val="20"/>
                <w:szCs w:val="20"/>
              </w:rPr>
              <w:t>77.4</w:t>
            </w:r>
          </w:p>
        </w:tc>
        <w:tc>
          <w:tcPr>
            <w:tcW w:w="1872" w:type="dxa"/>
            <w:tcBorders>
              <w:top w:val="nil"/>
              <w:left w:val="nil"/>
              <w:bottom w:val="single" w:sz="4" w:space="0" w:color="auto"/>
              <w:right w:val="single" w:sz="4" w:space="0" w:color="auto"/>
            </w:tcBorders>
            <w:shd w:val="clear" w:color="auto" w:fill="auto"/>
            <w:noWrap/>
            <w:vAlign w:val="center"/>
            <w:hideMark/>
          </w:tcPr>
          <w:p w14:paraId="1B866C2D" w14:textId="77777777" w:rsidR="007D7373" w:rsidRPr="002238CA" w:rsidRDefault="007D7373" w:rsidP="00821801">
            <w:pPr>
              <w:keepNext/>
              <w:jc w:val="center"/>
              <w:rPr>
                <w:rFonts w:cs="Calibri"/>
                <w:color w:val="000000"/>
                <w:sz w:val="20"/>
                <w:szCs w:val="20"/>
              </w:rPr>
            </w:pPr>
            <w:r>
              <w:rPr>
                <w:rFonts w:cs="Calibri"/>
                <w:color w:val="000000"/>
                <w:sz w:val="20"/>
                <w:szCs w:val="20"/>
              </w:rPr>
              <w:t>80.6</w:t>
            </w:r>
          </w:p>
        </w:tc>
      </w:tr>
    </w:tbl>
    <w:p w14:paraId="2A0D7210" w14:textId="77777777" w:rsidR="006E7BC9" w:rsidRPr="006E7BC9" w:rsidRDefault="006E7BC9" w:rsidP="006E7BC9"/>
    <w:p w14:paraId="151A0C66" w14:textId="2E2DA859" w:rsidR="006E7BC9" w:rsidRDefault="006E7BC9" w:rsidP="006E7BC9">
      <w:pPr>
        <w:pStyle w:val="Heading3"/>
        <w:rPr>
          <w:i/>
        </w:rPr>
      </w:pPr>
      <w:bookmarkStart w:id="133" w:name="_Toc509576780"/>
      <w:r>
        <w:t xml:space="preserve">7.2.3 Previous </w:t>
      </w:r>
      <w:r>
        <w:rPr>
          <w:i/>
        </w:rPr>
        <w:t>ex-ante</w:t>
      </w:r>
      <w:r>
        <w:t xml:space="preserve"> versus current </w:t>
      </w:r>
      <w:r>
        <w:rPr>
          <w:i/>
        </w:rPr>
        <w:t>ex-post</w:t>
      </w:r>
      <w:bookmarkEnd w:id="133"/>
    </w:p>
    <w:p w14:paraId="0206C757" w14:textId="5F801AF6" w:rsidR="00473271" w:rsidRPr="00821801" w:rsidRDefault="00821801" w:rsidP="00473271">
      <w:r>
        <w:t xml:space="preserve">Table 7.8 </w:t>
      </w:r>
      <w:r w:rsidR="00473271">
        <w:t xml:space="preserve">provides a comparison of the </w:t>
      </w:r>
      <w:r w:rsidR="00473271" w:rsidRPr="005926F0">
        <w:rPr>
          <w:i/>
        </w:rPr>
        <w:t>ex-ante</w:t>
      </w:r>
      <w:r w:rsidR="00473271">
        <w:t xml:space="preserve"> forecast of 2017 </w:t>
      </w:r>
      <w:r>
        <w:t xml:space="preserve">TOU </w:t>
      </w:r>
      <w:r w:rsidR="00473271">
        <w:t xml:space="preserve">load impacts prepared following PY2016 and the PY2017 </w:t>
      </w:r>
      <w:r>
        <w:t xml:space="preserve">TOU </w:t>
      </w:r>
      <w:r w:rsidR="00473271">
        <w:t xml:space="preserve">load impacts estimated as part of this study. The </w:t>
      </w:r>
      <w:r w:rsidR="00473271" w:rsidRPr="005926F0">
        <w:rPr>
          <w:i/>
        </w:rPr>
        <w:t>ex-ante</w:t>
      </w:r>
      <w:r w:rsidR="00473271">
        <w:t xml:space="preserve"> forecast shown in the table represents the August </w:t>
      </w:r>
      <w:r>
        <w:t>average weekday</w:t>
      </w:r>
      <w:r w:rsidR="00473271">
        <w:t xml:space="preserve"> during a utility-specific 1-in-2 weather year. The </w:t>
      </w:r>
      <w:r w:rsidR="00473271" w:rsidRPr="005926F0">
        <w:rPr>
          <w:i/>
        </w:rPr>
        <w:t>ex-post</w:t>
      </w:r>
      <w:r w:rsidR="00473271">
        <w:t xml:space="preserve"> load impacts are based on the </w:t>
      </w:r>
      <w:r>
        <w:t>August weekday</w:t>
      </w:r>
      <w:r w:rsidR="00473271">
        <w:t>.</w:t>
      </w:r>
      <w:r>
        <w:t xml:space="preserve"> Increased enrollments lead to larger aggregate load impacts and reference loads. However, the current </w:t>
      </w:r>
      <w:r>
        <w:rPr>
          <w:i/>
        </w:rPr>
        <w:t>ex-post</w:t>
      </w:r>
      <w:r>
        <w:t xml:space="preserve"> analysis has smaller percentage load impacts, even though TOU peak periods are identical between these comparisons.</w:t>
      </w:r>
    </w:p>
    <w:p w14:paraId="5D4D33AE" w14:textId="77777777" w:rsidR="007D7373" w:rsidRDefault="007D7373" w:rsidP="007D7373">
      <w:pPr>
        <w:pStyle w:val="TableCaption"/>
        <w:keepNext/>
      </w:pPr>
      <w:bookmarkStart w:id="134" w:name="_Toc509576808"/>
      <w:r>
        <w:lastRenderedPageBreak/>
        <w:t xml:space="preserve">Table 7.8 Comparison of PY2016 </w:t>
      </w:r>
      <w:r>
        <w:rPr>
          <w:i/>
        </w:rPr>
        <w:t>Ex-Ante</w:t>
      </w:r>
      <w:r>
        <w:t xml:space="preserve"> 2017 Forecast</w:t>
      </w:r>
      <w:r>
        <w:rPr>
          <w:i/>
        </w:rPr>
        <w:t xml:space="preserve"> </w:t>
      </w:r>
      <w:r>
        <w:t xml:space="preserve">and PY2017 </w:t>
      </w:r>
      <w:r>
        <w:rPr>
          <w:i/>
        </w:rPr>
        <w:t>Ex-Post</w:t>
      </w:r>
      <w:r>
        <w:t xml:space="preserve"> TOU Load Impacts</w:t>
      </w:r>
      <w:bookmarkEnd w:id="134"/>
    </w:p>
    <w:tbl>
      <w:tblPr>
        <w:tblW w:w="8424" w:type="dxa"/>
        <w:jc w:val="center"/>
        <w:tblLook w:val="04A0" w:firstRow="1" w:lastRow="0" w:firstColumn="1" w:lastColumn="0" w:noHBand="0" w:noVBand="1"/>
      </w:tblPr>
      <w:tblGrid>
        <w:gridCol w:w="1600"/>
        <w:gridCol w:w="3080"/>
        <w:gridCol w:w="1872"/>
        <w:gridCol w:w="1872"/>
      </w:tblGrid>
      <w:tr w:rsidR="007D7373" w:rsidRPr="002238CA" w14:paraId="497017DB" w14:textId="77777777" w:rsidTr="00821801">
        <w:trPr>
          <w:trHeight w:val="244"/>
          <w:jc w:val="center"/>
        </w:trPr>
        <w:tc>
          <w:tcPr>
            <w:tcW w:w="1600" w:type="dxa"/>
            <w:vMerge w:val="restart"/>
            <w:tcBorders>
              <w:top w:val="single" w:sz="4" w:space="0" w:color="auto"/>
              <w:left w:val="single" w:sz="4" w:space="0" w:color="auto"/>
              <w:bottom w:val="single" w:sz="4" w:space="0" w:color="auto"/>
              <w:right w:val="single" w:sz="4" w:space="0" w:color="FFFFFF"/>
            </w:tcBorders>
            <w:shd w:val="clear" w:color="000000" w:fill="132577"/>
            <w:noWrap/>
            <w:vAlign w:val="center"/>
            <w:hideMark/>
          </w:tcPr>
          <w:p w14:paraId="75C470C0" w14:textId="77777777" w:rsidR="007D7373" w:rsidRPr="002238CA" w:rsidRDefault="007D7373" w:rsidP="00821801">
            <w:pPr>
              <w:keepNext/>
              <w:jc w:val="center"/>
              <w:rPr>
                <w:rFonts w:cs="Calibri"/>
                <w:b/>
                <w:bCs/>
                <w:color w:val="FFFFFF"/>
                <w:sz w:val="20"/>
                <w:szCs w:val="20"/>
              </w:rPr>
            </w:pPr>
            <w:r w:rsidRPr="002238CA">
              <w:rPr>
                <w:rFonts w:cs="Calibri"/>
                <w:b/>
                <w:bCs/>
                <w:color w:val="FFFFFF"/>
                <w:sz w:val="20"/>
                <w:szCs w:val="20"/>
              </w:rPr>
              <w:t>Season</w:t>
            </w:r>
          </w:p>
        </w:tc>
        <w:tc>
          <w:tcPr>
            <w:tcW w:w="3080" w:type="dxa"/>
            <w:vMerge w:val="restart"/>
            <w:tcBorders>
              <w:top w:val="single" w:sz="4" w:space="0" w:color="auto"/>
              <w:left w:val="nil"/>
              <w:bottom w:val="single" w:sz="4" w:space="0" w:color="auto"/>
              <w:right w:val="nil"/>
            </w:tcBorders>
            <w:shd w:val="clear" w:color="000000" w:fill="132577"/>
            <w:noWrap/>
            <w:vAlign w:val="center"/>
            <w:hideMark/>
          </w:tcPr>
          <w:p w14:paraId="0C266E17" w14:textId="77777777" w:rsidR="007D7373" w:rsidRPr="002238CA" w:rsidRDefault="007D7373" w:rsidP="00821801">
            <w:pPr>
              <w:keepNext/>
              <w:jc w:val="center"/>
              <w:rPr>
                <w:rFonts w:cs="Calibri"/>
                <w:b/>
                <w:bCs/>
                <w:color w:val="FFFFFF"/>
                <w:sz w:val="20"/>
                <w:szCs w:val="20"/>
              </w:rPr>
            </w:pPr>
            <w:r w:rsidRPr="002238CA">
              <w:rPr>
                <w:rFonts w:cs="Calibri"/>
                <w:b/>
                <w:bCs/>
                <w:color w:val="FFFFFF"/>
                <w:sz w:val="20"/>
                <w:szCs w:val="20"/>
              </w:rPr>
              <w:t>Result</w:t>
            </w:r>
          </w:p>
        </w:tc>
        <w:tc>
          <w:tcPr>
            <w:tcW w:w="1872" w:type="dxa"/>
            <w:vMerge w:val="restart"/>
            <w:tcBorders>
              <w:top w:val="single" w:sz="4" w:space="0" w:color="auto"/>
              <w:left w:val="single" w:sz="4" w:space="0" w:color="FFFFFF"/>
              <w:bottom w:val="single" w:sz="4" w:space="0" w:color="auto"/>
              <w:right w:val="single" w:sz="4" w:space="0" w:color="FFFFFF"/>
            </w:tcBorders>
            <w:shd w:val="clear" w:color="000000" w:fill="132577"/>
            <w:vAlign w:val="center"/>
            <w:hideMark/>
          </w:tcPr>
          <w:p w14:paraId="395A110B" w14:textId="77777777" w:rsidR="007D7373" w:rsidRPr="002238CA" w:rsidRDefault="007D7373" w:rsidP="00821801">
            <w:pPr>
              <w:keepNext/>
              <w:jc w:val="center"/>
              <w:rPr>
                <w:rFonts w:cs="Calibri"/>
                <w:b/>
                <w:bCs/>
                <w:i/>
                <w:iCs/>
                <w:color w:val="FFFFFF"/>
                <w:sz w:val="20"/>
                <w:szCs w:val="20"/>
              </w:rPr>
            </w:pPr>
            <w:r w:rsidRPr="002238CA">
              <w:rPr>
                <w:rFonts w:cs="Calibri"/>
                <w:b/>
                <w:bCs/>
                <w:i/>
                <w:iCs/>
                <w:color w:val="FFFFFF"/>
                <w:sz w:val="20"/>
                <w:szCs w:val="20"/>
              </w:rPr>
              <w:t>Ex-ante for 2017 Avg. Weekday from PY2016 Study</w:t>
            </w:r>
          </w:p>
        </w:tc>
        <w:tc>
          <w:tcPr>
            <w:tcW w:w="1872" w:type="dxa"/>
            <w:vMerge w:val="restart"/>
            <w:tcBorders>
              <w:top w:val="single" w:sz="4" w:space="0" w:color="auto"/>
              <w:left w:val="single" w:sz="4" w:space="0" w:color="FFFFFF"/>
              <w:bottom w:val="single" w:sz="4" w:space="0" w:color="auto"/>
              <w:right w:val="single" w:sz="4" w:space="0" w:color="auto"/>
            </w:tcBorders>
            <w:shd w:val="clear" w:color="000000" w:fill="132577"/>
            <w:vAlign w:val="center"/>
            <w:hideMark/>
          </w:tcPr>
          <w:p w14:paraId="4F4C9EAC" w14:textId="77777777" w:rsidR="007D7373" w:rsidRPr="002238CA" w:rsidRDefault="007D7373" w:rsidP="00821801">
            <w:pPr>
              <w:keepNext/>
              <w:jc w:val="center"/>
              <w:rPr>
                <w:rFonts w:cs="Calibri"/>
                <w:b/>
                <w:bCs/>
                <w:i/>
                <w:iCs/>
                <w:color w:val="FFFFFF"/>
                <w:sz w:val="20"/>
                <w:szCs w:val="20"/>
              </w:rPr>
            </w:pPr>
            <w:r w:rsidRPr="002238CA">
              <w:rPr>
                <w:rFonts w:cs="Calibri"/>
                <w:b/>
                <w:bCs/>
                <w:i/>
                <w:iCs/>
                <w:color w:val="FFFFFF"/>
                <w:sz w:val="20"/>
                <w:szCs w:val="20"/>
              </w:rPr>
              <w:t>Ex-post for 2017 Avg. Weekday from PY2017 Study</w:t>
            </w:r>
          </w:p>
        </w:tc>
      </w:tr>
      <w:tr w:rsidR="007D7373" w:rsidRPr="002238CA" w14:paraId="19E055D8" w14:textId="77777777" w:rsidTr="00821801">
        <w:trPr>
          <w:trHeight w:val="293"/>
          <w:jc w:val="center"/>
        </w:trPr>
        <w:tc>
          <w:tcPr>
            <w:tcW w:w="1600" w:type="dxa"/>
            <w:vMerge/>
            <w:tcBorders>
              <w:top w:val="single" w:sz="4" w:space="0" w:color="auto"/>
              <w:left w:val="single" w:sz="4" w:space="0" w:color="auto"/>
              <w:bottom w:val="single" w:sz="4" w:space="0" w:color="auto"/>
              <w:right w:val="single" w:sz="4" w:space="0" w:color="FFFFFF"/>
            </w:tcBorders>
            <w:vAlign w:val="center"/>
            <w:hideMark/>
          </w:tcPr>
          <w:p w14:paraId="6C50118F" w14:textId="77777777" w:rsidR="007D7373" w:rsidRPr="002238CA" w:rsidRDefault="007D7373" w:rsidP="00821801">
            <w:pPr>
              <w:keepNext/>
              <w:rPr>
                <w:rFonts w:cs="Calibri"/>
                <w:b/>
                <w:bCs/>
                <w:color w:val="FFFFFF"/>
                <w:sz w:val="20"/>
                <w:szCs w:val="20"/>
              </w:rPr>
            </w:pPr>
          </w:p>
        </w:tc>
        <w:tc>
          <w:tcPr>
            <w:tcW w:w="3080" w:type="dxa"/>
            <w:vMerge/>
            <w:tcBorders>
              <w:top w:val="single" w:sz="4" w:space="0" w:color="auto"/>
              <w:left w:val="nil"/>
              <w:bottom w:val="single" w:sz="4" w:space="0" w:color="auto"/>
              <w:right w:val="nil"/>
            </w:tcBorders>
            <w:vAlign w:val="center"/>
            <w:hideMark/>
          </w:tcPr>
          <w:p w14:paraId="56BE9575" w14:textId="77777777" w:rsidR="007D7373" w:rsidRPr="002238CA" w:rsidRDefault="007D7373" w:rsidP="00821801">
            <w:pPr>
              <w:keepNext/>
              <w:rPr>
                <w:rFonts w:cs="Calibri"/>
                <w:b/>
                <w:bCs/>
                <w:color w:val="FFFFFF"/>
                <w:sz w:val="20"/>
                <w:szCs w:val="20"/>
              </w:rPr>
            </w:pPr>
          </w:p>
        </w:tc>
        <w:tc>
          <w:tcPr>
            <w:tcW w:w="1872" w:type="dxa"/>
            <w:vMerge/>
            <w:tcBorders>
              <w:top w:val="single" w:sz="4" w:space="0" w:color="auto"/>
              <w:left w:val="single" w:sz="4" w:space="0" w:color="FFFFFF"/>
              <w:bottom w:val="single" w:sz="4" w:space="0" w:color="auto"/>
              <w:right w:val="single" w:sz="4" w:space="0" w:color="FFFFFF"/>
            </w:tcBorders>
            <w:vAlign w:val="center"/>
            <w:hideMark/>
          </w:tcPr>
          <w:p w14:paraId="687882BE" w14:textId="77777777" w:rsidR="007D7373" w:rsidRPr="002238CA" w:rsidRDefault="007D7373" w:rsidP="00821801">
            <w:pPr>
              <w:keepNext/>
              <w:rPr>
                <w:rFonts w:cs="Calibri"/>
                <w:b/>
                <w:bCs/>
                <w:i/>
                <w:iCs/>
                <w:color w:val="FFFFFF"/>
                <w:sz w:val="20"/>
                <w:szCs w:val="20"/>
              </w:rPr>
            </w:pPr>
          </w:p>
        </w:tc>
        <w:tc>
          <w:tcPr>
            <w:tcW w:w="1872" w:type="dxa"/>
            <w:vMerge/>
            <w:tcBorders>
              <w:top w:val="single" w:sz="4" w:space="0" w:color="auto"/>
              <w:left w:val="single" w:sz="4" w:space="0" w:color="FFFFFF"/>
              <w:bottom w:val="single" w:sz="4" w:space="0" w:color="auto"/>
              <w:right w:val="single" w:sz="4" w:space="0" w:color="auto"/>
            </w:tcBorders>
            <w:vAlign w:val="center"/>
            <w:hideMark/>
          </w:tcPr>
          <w:p w14:paraId="723C99AC" w14:textId="77777777" w:rsidR="007D7373" w:rsidRPr="002238CA" w:rsidRDefault="007D7373" w:rsidP="00821801">
            <w:pPr>
              <w:keepNext/>
              <w:rPr>
                <w:rFonts w:cs="Calibri"/>
                <w:b/>
                <w:bCs/>
                <w:i/>
                <w:iCs/>
                <w:color w:val="FFFFFF"/>
                <w:sz w:val="20"/>
                <w:szCs w:val="20"/>
              </w:rPr>
            </w:pPr>
          </w:p>
        </w:tc>
      </w:tr>
      <w:tr w:rsidR="007D7373" w:rsidRPr="002238CA" w14:paraId="0E7E8B9D" w14:textId="77777777" w:rsidTr="00821801">
        <w:trPr>
          <w:trHeight w:val="144"/>
          <w:jc w:val="center"/>
        </w:trPr>
        <w:tc>
          <w:tcPr>
            <w:tcW w:w="1600" w:type="dxa"/>
            <w:vMerge w:val="restart"/>
            <w:tcBorders>
              <w:top w:val="nil"/>
              <w:left w:val="single" w:sz="4" w:space="0" w:color="auto"/>
              <w:bottom w:val="single" w:sz="4" w:space="0" w:color="auto"/>
              <w:right w:val="single" w:sz="4" w:space="0" w:color="auto"/>
            </w:tcBorders>
            <w:shd w:val="clear" w:color="auto" w:fill="auto"/>
            <w:vAlign w:val="center"/>
            <w:hideMark/>
          </w:tcPr>
          <w:p w14:paraId="4E4A0AC5" w14:textId="77777777" w:rsidR="007D7373" w:rsidRPr="002238CA" w:rsidRDefault="007D7373" w:rsidP="00821801">
            <w:pPr>
              <w:keepNext/>
              <w:jc w:val="center"/>
              <w:rPr>
                <w:rFonts w:cs="Calibri"/>
                <w:b/>
                <w:bCs/>
                <w:color w:val="000000"/>
                <w:sz w:val="20"/>
                <w:szCs w:val="20"/>
              </w:rPr>
            </w:pPr>
            <w:r w:rsidRPr="002238CA">
              <w:rPr>
                <w:rFonts w:cs="Calibri"/>
                <w:b/>
                <w:bCs/>
                <w:color w:val="000000"/>
                <w:sz w:val="20"/>
                <w:szCs w:val="20"/>
              </w:rPr>
              <w:t>Summer (August)</w:t>
            </w:r>
          </w:p>
        </w:tc>
        <w:tc>
          <w:tcPr>
            <w:tcW w:w="3080" w:type="dxa"/>
            <w:tcBorders>
              <w:top w:val="nil"/>
              <w:left w:val="nil"/>
              <w:bottom w:val="single" w:sz="4" w:space="0" w:color="auto"/>
              <w:right w:val="single" w:sz="4" w:space="0" w:color="auto"/>
            </w:tcBorders>
            <w:shd w:val="clear" w:color="auto" w:fill="auto"/>
            <w:noWrap/>
            <w:vAlign w:val="center"/>
            <w:hideMark/>
          </w:tcPr>
          <w:p w14:paraId="098C1677" w14:textId="77777777" w:rsidR="007D7373" w:rsidRPr="002238CA" w:rsidRDefault="007D7373" w:rsidP="00821801">
            <w:pPr>
              <w:keepNext/>
              <w:rPr>
                <w:rFonts w:cs="Calibri"/>
                <w:color w:val="000000"/>
                <w:sz w:val="20"/>
                <w:szCs w:val="20"/>
              </w:rPr>
            </w:pPr>
            <w:r w:rsidRPr="002238CA">
              <w:rPr>
                <w:rFonts w:cs="Calibri"/>
                <w:color w:val="000000"/>
                <w:sz w:val="20"/>
                <w:szCs w:val="20"/>
              </w:rPr>
              <w:t># Enrolled</w:t>
            </w:r>
          </w:p>
        </w:tc>
        <w:tc>
          <w:tcPr>
            <w:tcW w:w="1872" w:type="dxa"/>
            <w:tcBorders>
              <w:top w:val="nil"/>
              <w:left w:val="nil"/>
              <w:bottom w:val="single" w:sz="4" w:space="0" w:color="auto"/>
              <w:right w:val="single" w:sz="4" w:space="0" w:color="auto"/>
            </w:tcBorders>
            <w:shd w:val="clear" w:color="auto" w:fill="auto"/>
            <w:noWrap/>
            <w:vAlign w:val="center"/>
            <w:hideMark/>
          </w:tcPr>
          <w:p w14:paraId="5E46801C" w14:textId="77777777" w:rsidR="007D7373" w:rsidRPr="002238CA" w:rsidRDefault="007D7373" w:rsidP="00821801">
            <w:pPr>
              <w:keepNext/>
              <w:jc w:val="center"/>
              <w:rPr>
                <w:rFonts w:cs="Calibri"/>
                <w:color w:val="000000"/>
                <w:sz w:val="20"/>
                <w:szCs w:val="20"/>
              </w:rPr>
            </w:pPr>
            <w:r>
              <w:rPr>
                <w:rFonts w:cs="Calibri"/>
                <w:color w:val="000000"/>
                <w:sz w:val="20"/>
                <w:szCs w:val="20"/>
              </w:rPr>
              <w:t>4,639</w:t>
            </w:r>
          </w:p>
        </w:tc>
        <w:tc>
          <w:tcPr>
            <w:tcW w:w="1872" w:type="dxa"/>
            <w:tcBorders>
              <w:top w:val="nil"/>
              <w:left w:val="nil"/>
              <w:bottom w:val="single" w:sz="4" w:space="0" w:color="auto"/>
              <w:right w:val="single" w:sz="4" w:space="0" w:color="auto"/>
            </w:tcBorders>
            <w:shd w:val="clear" w:color="auto" w:fill="auto"/>
            <w:noWrap/>
            <w:vAlign w:val="center"/>
            <w:hideMark/>
          </w:tcPr>
          <w:p w14:paraId="51ADAACE" w14:textId="77777777" w:rsidR="007D7373" w:rsidRPr="002238CA" w:rsidRDefault="007D7373" w:rsidP="00821801">
            <w:pPr>
              <w:keepNext/>
              <w:jc w:val="center"/>
              <w:rPr>
                <w:rFonts w:cs="Calibri"/>
                <w:color w:val="000000"/>
                <w:sz w:val="20"/>
                <w:szCs w:val="20"/>
              </w:rPr>
            </w:pPr>
            <w:r>
              <w:rPr>
                <w:rFonts w:cs="Calibri"/>
                <w:color w:val="000000"/>
                <w:sz w:val="20"/>
                <w:szCs w:val="20"/>
              </w:rPr>
              <w:t>6,396</w:t>
            </w:r>
          </w:p>
        </w:tc>
      </w:tr>
      <w:tr w:rsidR="007D7373" w:rsidRPr="002238CA" w14:paraId="6367A405" w14:textId="77777777" w:rsidTr="00821801">
        <w:trPr>
          <w:trHeight w:val="144"/>
          <w:jc w:val="center"/>
        </w:trPr>
        <w:tc>
          <w:tcPr>
            <w:tcW w:w="1600" w:type="dxa"/>
            <w:vMerge/>
            <w:tcBorders>
              <w:top w:val="nil"/>
              <w:left w:val="single" w:sz="4" w:space="0" w:color="auto"/>
              <w:bottom w:val="single" w:sz="4" w:space="0" w:color="auto"/>
              <w:right w:val="single" w:sz="4" w:space="0" w:color="auto"/>
            </w:tcBorders>
            <w:vAlign w:val="center"/>
            <w:hideMark/>
          </w:tcPr>
          <w:p w14:paraId="27BEB34B" w14:textId="77777777" w:rsidR="007D7373" w:rsidRPr="002238CA" w:rsidRDefault="007D7373" w:rsidP="00821801">
            <w:pPr>
              <w:keepNext/>
              <w:rPr>
                <w:rFonts w:cs="Calibri"/>
                <w:b/>
                <w:bCs/>
                <w:color w:val="000000"/>
                <w:sz w:val="20"/>
                <w:szCs w:val="20"/>
              </w:rPr>
            </w:pPr>
          </w:p>
        </w:tc>
        <w:tc>
          <w:tcPr>
            <w:tcW w:w="3080" w:type="dxa"/>
            <w:tcBorders>
              <w:top w:val="nil"/>
              <w:left w:val="nil"/>
              <w:bottom w:val="single" w:sz="4" w:space="0" w:color="auto"/>
              <w:right w:val="single" w:sz="4" w:space="0" w:color="auto"/>
            </w:tcBorders>
            <w:shd w:val="clear" w:color="auto" w:fill="auto"/>
            <w:noWrap/>
            <w:vAlign w:val="center"/>
            <w:hideMark/>
          </w:tcPr>
          <w:p w14:paraId="59F112FF" w14:textId="77777777" w:rsidR="007D7373" w:rsidRPr="002238CA" w:rsidRDefault="007D7373" w:rsidP="00821801">
            <w:pPr>
              <w:keepNext/>
              <w:rPr>
                <w:rFonts w:cs="Calibri"/>
                <w:color w:val="000000"/>
                <w:sz w:val="20"/>
                <w:szCs w:val="20"/>
              </w:rPr>
            </w:pPr>
            <w:r w:rsidRPr="002238CA">
              <w:rPr>
                <w:rFonts w:cs="Calibri"/>
                <w:color w:val="000000"/>
                <w:sz w:val="20"/>
                <w:szCs w:val="20"/>
              </w:rPr>
              <w:t>Reference (MWh/h)</w:t>
            </w:r>
          </w:p>
        </w:tc>
        <w:tc>
          <w:tcPr>
            <w:tcW w:w="1872" w:type="dxa"/>
            <w:tcBorders>
              <w:top w:val="nil"/>
              <w:left w:val="nil"/>
              <w:bottom w:val="single" w:sz="4" w:space="0" w:color="auto"/>
              <w:right w:val="single" w:sz="4" w:space="0" w:color="auto"/>
            </w:tcBorders>
            <w:shd w:val="clear" w:color="auto" w:fill="auto"/>
            <w:noWrap/>
            <w:vAlign w:val="center"/>
            <w:hideMark/>
          </w:tcPr>
          <w:p w14:paraId="107296CF" w14:textId="77777777" w:rsidR="007D7373" w:rsidRPr="002238CA" w:rsidRDefault="007D7373" w:rsidP="00821801">
            <w:pPr>
              <w:keepNext/>
              <w:jc w:val="center"/>
              <w:rPr>
                <w:rFonts w:cs="Calibri"/>
                <w:color w:val="000000"/>
                <w:sz w:val="20"/>
                <w:szCs w:val="20"/>
              </w:rPr>
            </w:pPr>
            <w:r>
              <w:rPr>
                <w:rFonts w:cs="Calibri"/>
                <w:color w:val="000000"/>
                <w:sz w:val="20"/>
                <w:szCs w:val="20"/>
              </w:rPr>
              <w:t>4.85</w:t>
            </w:r>
          </w:p>
        </w:tc>
        <w:tc>
          <w:tcPr>
            <w:tcW w:w="1872" w:type="dxa"/>
            <w:tcBorders>
              <w:top w:val="nil"/>
              <w:left w:val="nil"/>
              <w:bottom w:val="single" w:sz="4" w:space="0" w:color="auto"/>
              <w:right w:val="single" w:sz="4" w:space="0" w:color="auto"/>
            </w:tcBorders>
            <w:shd w:val="clear" w:color="auto" w:fill="auto"/>
            <w:noWrap/>
            <w:vAlign w:val="center"/>
            <w:hideMark/>
          </w:tcPr>
          <w:p w14:paraId="17103255" w14:textId="77777777" w:rsidR="007D7373" w:rsidRPr="002238CA" w:rsidRDefault="007D7373" w:rsidP="00821801">
            <w:pPr>
              <w:keepNext/>
              <w:jc w:val="center"/>
              <w:rPr>
                <w:rFonts w:cs="Calibri"/>
                <w:color w:val="000000"/>
                <w:sz w:val="20"/>
                <w:szCs w:val="20"/>
              </w:rPr>
            </w:pPr>
            <w:r>
              <w:rPr>
                <w:rFonts w:cs="Calibri"/>
                <w:color w:val="000000"/>
                <w:sz w:val="20"/>
                <w:szCs w:val="20"/>
              </w:rPr>
              <w:t>6.77</w:t>
            </w:r>
          </w:p>
        </w:tc>
      </w:tr>
      <w:tr w:rsidR="007D7373" w:rsidRPr="002238CA" w14:paraId="7A02662E" w14:textId="77777777" w:rsidTr="00821801">
        <w:trPr>
          <w:trHeight w:val="144"/>
          <w:jc w:val="center"/>
        </w:trPr>
        <w:tc>
          <w:tcPr>
            <w:tcW w:w="1600" w:type="dxa"/>
            <w:vMerge/>
            <w:tcBorders>
              <w:top w:val="nil"/>
              <w:left w:val="single" w:sz="4" w:space="0" w:color="auto"/>
              <w:bottom w:val="single" w:sz="4" w:space="0" w:color="auto"/>
              <w:right w:val="single" w:sz="4" w:space="0" w:color="auto"/>
            </w:tcBorders>
            <w:vAlign w:val="center"/>
            <w:hideMark/>
          </w:tcPr>
          <w:p w14:paraId="1A0C360D" w14:textId="77777777" w:rsidR="007D7373" w:rsidRPr="002238CA" w:rsidRDefault="007D7373" w:rsidP="00821801">
            <w:pPr>
              <w:keepNext/>
              <w:rPr>
                <w:rFonts w:cs="Calibri"/>
                <w:b/>
                <w:bCs/>
                <w:color w:val="000000"/>
                <w:sz w:val="20"/>
                <w:szCs w:val="20"/>
              </w:rPr>
            </w:pPr>
          </w:p>
        </w:tc>
        <w:tc>
          <w:tcPr>
            <w:tcW w:w="3080" w:type="dxa"/>
            <w:tcBorders>
              <w:top w:val="nil"/>
              <w:left w:val="nil"/>
              <w:bottom w:val="single" w:sz="4" w:space="0" w:color="auto"/>
              <w:right w:val="single" w:sz="4" w:space="0" w:color="auto"/>
            </w:tcBorders>
            <w:shd w:val="clear" w:color="auto" w:fill="auto"/>
            <w:noWrap/>
            <w:vAlign w:val="center"/>
            <w:hideMark/>
          </w:tcPr>
          <w:p w14:paraId="61824938" w14:textId="77777777" w:rsidR="007D7373" w:rsidRPr="002238CA" w:rsidRDefault="007D7373" w:rsidP="00821801">
            <w:pPr>
              <w:keepNext/>
              <w:rPr>
                <w:rFonts w:cs="Calibri"/>
                <w:color w:val="000000"/>
                <w:sz w:val="20"/>
                <w:szCs w:val="20"/>
              </w:rPr>
            </w:pPr>
            <w:r w:rsidRPr="002238CA">
              <w:rPr>
                <w:rFonts w:cs="Calibri"/>
                <w:color w:val="000000"/>
                <w:sz w:val="20"/>
                <w:szCs w:val="20"/>
              </w:rPr>
              <w:t>Load Impact (MWh/h)</w:t>
            </w:r>
          </w:p>
        </w:tc>
        <w:tc>
          <w:tcPr>
            <w:tcW w:w="1872" w:type="dxa"/>
            <w:tcBorders>
              <w:top w:val="nil"/>
              <w:left w:val="nil"/>
              <w:bottom w:val="single" w:sz="4" w:space="0" w:color="auto"/>
              <w:right w:val="single" w:sz="4" w:space="0" w:color="auto"/>
            </w:tcBorders>
            <w:shd w:val="clear" w:color="auto" w:fill="auto"/>
            <w:noWrap/>
            <w:vAlign w:val="center"/>
            <w:hideMark/>
          </w:tcPr>
          <w:p w14:paraId="5E3FC188" w14:textId="77777777" w:rsidR="007D7373" w:rsidRPr="002238CA" w:rsidRDefault="007D7373" w:rsidP="00821801">
            <w:pPr>
              <w:keepNext/>
              <w:jc w:val="center"/>
              <w:rPr>
                <w:rFonts w:cs="Calibri"/>
                <w:color w:val="000000"/>
                <w:sz w:val="20"/>
                <w:szCs w:val="20"/>
              </w:rPr>
            </w:pPr>
            <w:r>
              <w:rPr>
                <w:rFonts w:cs="Calibri"/>
                <w:color w:val="000000"/>
                <w:sz w:val="20"/>
                <w:szCs w:val="20"/>
              </w:rPr>
              <w:t>0.31</w:t>
            </w:r>
          </w:p>
        </w:tc>
        <w:tc>
          <w:tcPr>
            <w:tcW w:w="1872" w:type="dxa"/>
            <w:tcBorders>
              <w:top w:val="nil"/>
              <w:left w:val="nil"/>
              <w:bottom w:val="single" w:sz="4" w:space="0" w:color="auto"/>
              <w:right w:val="single" w:sz="4" w:space="0" w:color="auto"/>
            </w:tcBorders>
            <w:shd w:val="clear" w:color="auto" w:fill="auto"/>
            <w:noWrap/>
            <w:vAlign w:val="center"/>
            <w:hideMark/>
          </w:tcPr>
          <w:p w14:paraId="4EF07697" w14:textId="77777777" w:rsidR="007D7373" w:rsidRPr="002238CA" w:rsidRDefault="007D7373" w:rsidP="00821801">
            <w:pPr>
              <w:keepNext/>
              <w:jc w:val="center"/>
              <w:rPr>
                <w:rFonts w:cs="Calibri"/>
                <w:color w:val="000000"/>
                <w:sz w:val="20"/>
                <w:szCs w:val="20"/>
              </w:rPr>
            </w:pPr>
            <w:r>
              <w:rPr>
                <w:rFonts w:cs="Calibri"/>
                <w:color w:val="000000"/>
                <w:sz w:val="20"/>
                <w:szCs w:val="20"/>
              </w:rPr>
              <w:t>0.19</w:t>
            </w:r>
          </w:p>
        </w:tc>
      </w:tr>
      <w:tr w:rsidR="007D7373" w:rsidRPr="002238CA" w14:paraId="7426755B" w14:textId="77777777" w:rsidTr="00821801">
        <w:trPr>
          <w:trHeight w:val="144"/>
          <w:jc w:val="center"/>
        </w:trPr>
        <w:tc>
          <w:tcPr>
            <w:tcW w:w="1600" w:type="dxa"/>
            <w:vMerge/>
            <w:tcBorders>
              <w:top w:val="nil"/>
              <w:left w:val="single" w:sz="4" w:space="0" w:color="auto"/>
              <w:bottom w:val="single" w:sz="4" w:space="0" w:color="auto"/>
              <w:right w:val="single" w:sz="4" w:space="0" w:color="auto"/>
            </w:tcBorders>
            <w:vAlign w:val="center"/>
            <w:hideMark/>
          </w:tcPr>
          <w:p w14:paraId="4916DF0F" w14:textId="77777777" w:rsidR="007D7373" w:rsidRPr="002238CA" w:rsidRDefault="007D7373" w:rsidP="00821801">
            <w:pPr>
              <w:keepNext/>
              <w:rPr>
                <w:rFonts w:cs="Calibri"/>
                <w:b/>
                <w:bCs/>
                <w:color w:val="000000"/>
                <w:sz w:val="20"/>
                <w:szCs w:val="20"/>
              </w:rPr>
            </w:pPr>
          </w:p>
        </w:tc>
        <w:tc>
          <w:tcPr>
            <w:tcW w:w="3080" w:type="dxa"/>
            <w:tcBorders>
              <w:top w:val="nil"/>
              <w:left w:val="nil"/>
              <w:bottom w:val="single" w:sz="4" w:space="0" w:color="auto"/>
              <w:right w:val="single" w:sz="4" w:space="0" w:color="auto"/>
            </w:tcBorders>
            <w:shd w:val="clear" w:color="auto" w:fill="auto"/>
            <w:noWrap/>
            <w:vAlign w:val="center"/>
            <w:hideMark/>
          </w:tcPr>
          <w:p w14:paraId="0D780F1B" w14:textId="77777777" w:rsidR="007D7373" w:rsidRPr="002238CA" w:rsidRDefault="007D7373" w:rsidP="00821801">
            <w:pPr>
              <w:keepNext/>
              <w:rPr>
                <w:rFonts w:cs="Calibri"/>
                <w:color w:val="000000"/>
                <w:sz w:val="20"/>
                <w:szCs w:val="20"/>
              </w:rPr>
            </w:pPr>
            <w:r w:rsidRPr="002238CA">
              <w:rPr>
                <w:rFonts w:cs="Calibri"/>
                <w:color w:val="000000"/>
                <w:sz w:val="20"/>
                <w:szCs w:val="20"/>
              </w:rPr>
              <w:t>Per-customer reference (kWh/h)</w:t>
            </w:r>
          </w:p>
        </w:tc>
        <w:tc>
          <w:tcPr>
            <w:tcW w:w="1872" w:type="dxa"/>
            <w:tcBorders>
              <w:top w:val="nil"/>
              <w:left w:val="nil"/>
              <w:bottom w:val="single" w:sz="4" w:space="0" w:color="auto"/>
              <w:right w:val="single" w:sz="4" w:space="0" w:color="auto"/>
            </w:tcBorders>
            <w:shd w:val="clear" w:color="auto" w:fill="auto"/>
            <w:noWrap/>
            <w:vAlign w:val="center"/>
            <w:hideMark/>
          </w:tcPr>
          <w:p w14:paraId="51E82B51" w14:textId="77777777" w:rsidR="007D7373" w:rsidRPr="002238CA" w:rsidRDefault="007D7373" w:rsidP="00821801">
            <w:pPr>
              <w:keepNext/>
              <w:jc w:val="center"/>
              <w:rPr>
                <w:rFonts w:cs="Calibri"/>
                <w:color w:val="000000"/>
                <w:sz w:val="20"/>
                <w:szCs w:val="20"/>
              </w:rPr>
            </w:pPr>
            <w:r>
              <w:rPr>
                <w:rFonts w:cs="Calibri"/>
                <w:color w:val="000000"/>
                <w:sz w:val="20"/>
                <w:szCs w:val="20"/>
              </w:rPr>
              <w:t>1.05</w:t>
            </w:r>
          </w:p>
        </w:tc>
        <w:tc>
          <w:tcPr>
            <w:tcW w:w="1872" w:type="dxa"/>
            <w:tcBorders>
              <w:top w:val="nil"/>
              <w:left w:val="nil"/>
              <w:bottom w:val="single" w:sz="4" w:space="0" w:color="auto"/>
              <w:right w:val="single" w:sz="4" w:space="0" w:color="auto"/>
            </w:tcBorders>
            <w:shd w:val="clear" w:color="auto" w:fill="auto"/>
            <w:noWrap/>
            <w:vAlign w:val="center"/>
            <w:hideMark/>
          </w:tcPr>
          <w:p w14:paraId="52D29838" w14:textId="77777777" w:rsidR="007D7373" w:rsidRPr="002238CA" w:rsidRDefault="007D7373" w:rsidP="00821801">
            <w:pPr>
              <w:keepNext/>
              <w:jc w:val="center"/>
              <w:rPr>
                <w:rFonts w:cs="Calibri"/>
                <w:color w:val="000000"/>
                <w:sz w:val="20"/>
                <w:szCs w:val="20"/>
              </w:rPr>
            </w:pPr>
            <w:r>
              <w:rPr>
                <w:rFonts w:cs="Calibri"/>
                <w:color w:val="000000"/>
                <w:sz w:val="20"/>
                <w:szCs w:val="20"/>
              </w:rPr>
              <w:t>1.06</w:t>
            </w:r>
          </w:p>
        </w:tc>
      </w:tr>
      <w:tr w:rsidR="007D7373" w:rsidRPr="002238CA" w14:paraId="510DCB0B" w14:textId="77777777" w:rsidTr="00821801">
        <w:trPr>
          <w:trHeight w:val="144"/>
          <w:jc w:val="center"/>
        </w:trPr>
        <w:tc>
          <w:tcPr>
            <w:tcW w:w="1600" w:type="dxa"/>
            <w:vMerge/>
            <w:tcBorders>
              <w:top w:val="nil"/>
              <w:left w:val="single" w:sz="4" w:space="0" w:color="auto"/>
              <w:bottom w:val="single" w:sz="4" w:space="0" w:color="auto"/>
              <w:right w:val="single" w:sz="4" w:space="0" w:color="auto"/>
            </w:tcBorders>
            <w:vAlign w:val="center"/>
            <w:hideMark/>
          </w:tcPr>
          <w:p w14:paraId="02711C2C" w14:textId="77777777" w:rsidR="007D7373" w:rsidRPr="002238CA" w:rsidRDefault="007D7373" w:rsidP="00821801">
            <w:pPr>
              <w:keepNext/>
              <w:rPr>
                <w:rFonts w:cs="Calibri"/>
                <w:b/>
                <w:bCs/>
                <w:color w:val="000000"/>
                <w:sz w:val="20"/>
                <w:szCs w:val="20"/>
              </w:rPr>
            </w:pPr>
          </w:p>
        </w:tc>
        <w:tc>
          <w:tcPr>
            <w:tcW w:w="3080" w:type="dxa"/>
            <w:tcBorders>
              <w:top w:val="nil"/>
              <w:left w:val="nil"/>
              <w:bottom w:val="single" w:sz="4" w:space="0" w:color="auto"/>
              <w:right w:val="single" w:sz="4" w:space="0" w:color="auto"/>
            </w:tcBorders>
            <w:shd w:val="clear" w:color="auto" w:fill="auto"/>
            <w:noWrap/>
            <w:vAlign w:val="center"/>
            <w:hideMark/>
          </w:tcPr>
          <w:p w14:paraId="48527E0E" w14:textId="77777777" w:rsidR="007D7373" w:rsidRPr="002238CA" w:rsidRDefault="007D7373" w:rsidP="00821801">
            <w:pPr>
              <w:keepNext/>
              <w:rPr>
                <w:rFonts w:cs="Calibri"/>
                <w:color w:val="000000"/>
                <w:sz w:val="20"/>
                <w:szCs w:val="20"/>
              </w:rPr>
            </w:pPr>
            <w:r w:rsidRPr="002238CA">
              <w:rPr>
                <w:rFonts w:cs="Calibri"/>
                <w:color w:val="000000"/>
                <w:sz w:val="20"/>
                <w:szCs w:val="20"/>
              </w:rPr>
              <w:t>Per-customer load impact (kWh/h)</w:t>
            </w:r>
          </w:p>
        </w:tc>
        <w:tc>
          <w:tcPr>
            <w:tcW w:w="1872" w:type="dxa"/>
            <w:tcBorders>
              <w:top w:val="nil"/>
              <w:left w:val="nil"/>
              <w:bottom w:val="single" w:sz="4" w:space="0" w:color="auto"/>
              <w:right w:val="single" w:sz="4" w:space="0" w:color="auto"/>
            </w:tcBorders>
            <w:shd w:val="clear" w:color="auto" w:fill="auto"/>
            <w:noWrap/>
            <w:vAlign w:val="center"/>
            <w:hideMark/>
          </w:tcPr>
          <w:p w14:paraId="1FBAB02A" w14:textId="77777777" w:rsidR="007D7373" w:rsidRPr="002238CA" w:rsidRDefault="007D7373" w:rsidP="00821801">
            <w:pPr>
              <w:keepNext/>
              <w:jc w:val="center"/>
              <w:rPr>
                <w:rFonts w:cs="Calibri"/>
                <w:color w:val="000000"/>
                <w:sz w:val="20"/>
                <w:szCs w:val="20"/>
              </w:rPr>
            </w:pPr>
            <w:r>
              <w:rPr>
                <w:rFonts w:cs="Calibri"/>
                <w:color w:val="000000"/>
                <w:sz w:val="20"/>
                <w:szCs w:val="20"/>
              </w:rPr>
              <w:t>0.07</w:t>
            </w:r>
          </w:p>
        </w:tc>
        <w:tc>
          <w:tcPr>
            <w:tcW w:w="1872" w:type="dxa"/>
            <w:tcBorders>
              <w:top w:val="nil"/>
              <w:left w:val="nil"/>
              <w:bottom w:val="single" w:sz="4" w:space="0" w:color="auto"/>
              <w:right w:val="single" w:sz="4" w:space="0" w:color="auto"/>
            </w:tcBorders>
            <w:shd w:val="clear" w:color="auto" w:fill="auto"/>
            <w:noWrap/>
            <w:vAlign w:val="center"/>
            <w:hideMark/>
          </w:tcPr>
          <w:p w14:paraId="5804F3E7" w14:textId="77777777" w:rsidR="007D7373" w:rsidRPr="002238CA" w:rsidRDefault="007D7373" w:rsidP="00821801">
            <w:pPr>
              <w:keepNext/>
              <w:jc w:val="center"/>
              <w:rPr>
                <w:rFonts w:cs="Calibri"/>
                <w:color w:val="000000"/>
                <w:sz w:val="20"/>
                <w:szCs w:val="20"/>
              </w:rPr>
            </w:pPr>
            <w:r>
              <w:rPr>
                <w:rFonts w:cs="Calibri"/>
                <w:color w:val="000000"/>
                <w:sz w:val="20"/>
                <w:szCs w:val="20"/>
              </w:rPr>
              <w:t>0.03</w:t>
            </w:r>
          </w:p>
        </w:tc>
      </w:tr>
      <w:tr w:rsidR="007D7373" w:rsidRPr="002238CA" w14:paraId="4A8AE343" w14:textId="77777777" w:rsidTr="00821801">
        <w:trPr>
          <w:trHeight w:val="144"/>
          <w:jc w:val="center"/>
        </w:trPr>
        <w:tc>
          <w:tcPr>
            <w:tcW w:w="1600" w:type="dxa"/>
            <w:vMerge/>
            <w:tcBorders>
              <w:top w:val="nil"/>
              <w:left w:val="single" w:sz="4" w:space="0" w:color="auto"/>
              <w:bottom w:val="single" w:sz="4" w:space="0" w:color="auto"/>
              <w:right w:val="single" w:sz="4" w:space="0" w:color="auto"/>
            </w:tcBorders>
            <w:vAlign w:val="center"/>
            <w:hideMark/>
          </w:tcPr>
          <w:p w14:paraId="193354F1" w14:textId="77777777" w:rsidR="007D7373" w:rsidRPr="002238CA" w:rsidRDefault="007D7373" w:rsidP="00821801">
            <w:pPr>
              <w:keepNext/>
              <w:rPr>
                <w:rFonts w:cs="Calibri"/>
                <w:b/>
                <w:bCs/>
                <w:color w:val="000000"/>
                <w:sz w:val="20"/>
                <w:szCs w:val="20"/>
              </w:rPr>
            </w:pPr>
          </w:p>
        </w:tc>
        <w:tc>
          <w:tcPr>
            <w:tcW w:w="3080" w:type="dxa"/>
            <w:tcBorders>
              <w:top w:val="nil"/>
              <w:left w:val="nil"/>
              <w:bottom w:val="single" w:sz="4" w:space="0" w:color="auto"/>
              <w:right w:val="single" w:sz="4" w:space="0" w:color="auto"/>
            </w:tcBorders>
            <w:shd w:val="clear" w:color="auto" w:fill="auto"/>
            <w:noWrap/>
            <w:vAlign w:val="center"/>
            <w:hideMark/>
          </w:tcPr>
          <w:p w14:paraId="614E6343" w14:textId="77777777" w:rsidR="007D7373" w:rsidRPr="002238CA" w:rsidRDefault="007D7373" w:rsidP="00821801">
            <w:pPr>
              <w:keepNext/>
              <w:rPr>
                <w:rFonts w:cs="Calibri"/>
                <w:color w:val="000000"/>
                <w:sz w:val="20"/>
                <w:szCs w:val="20"/>
              </w:rPr>
            </w:pPr>
            <w:r w:rsidRPr="002238CA">
              <w:rPr>
                <w:rFonts w:cs="Calibri"/>
                <w:color w:val="000000"/>
                <w:sz w:val="20"/>
                <w:szCs w:val="20"/>
              </w:rPr>
              <w:t>% Load Impact</w:t>
            </w:r>
          </w:p>
        </w:tc>
        <w:tc>
          <w:tcPr>
            <w:tcW w:w="1872" w:type="dxa"/>
            <w:tcBorders>
              <w:top w:val="nil"/>
              <w:left w:val="nil"/>
              <w:bottom w:val="single" w:sz="4" w:space="0" w:color="auto"/>
              <w:right w:val="single" w:sz="4" w:space="0" w:color="auto"/>
            </w:tcBorders>
            <w:shd w:val="clear" w:color="auto" w:fill="auto"/>
            <w:noWrap/>
            <w:vAlign w:val="center"/>
            <w:hideMark/>
          </w:tcPr>
          <w:p w14:paraId="1742E6A5" w14:textId="77777777" w:rsidR="007D7373" w:rsidRPr="002238CA" w:rsidRDefault="007D7373" w:rsidP="00821801">
            <w:pPr>
              <w:keepNext/>
              <w:jc w:val="center"/>
              <w:rPr>
                <w:rFonts w:cs="Calibri"/>
                <w:color w:val="000000"/>
                <w:sz w:val="20"/>
                <w:szCs w:val="20"/>
              </w:rPr>
            </w:pPr>
            <w:r>
              <w:rPr>
                <w:rFonts w:cs="Calibri"/>
                <w:color w:val="000000"/>
                <w:sz w:val="20"/>
                <w:szCs w:val="20"/>
              </w:rPr>
              <w:t>6.34%</w:t>
            </w:r>
          </w:p>
        </w:tc>
        <w:tc>
          <w:tcPr>
            <w:tcW w:w="1872" w:type="dxa"/>
            <w:tcBorders>
              <w:top w:val="nil"/>
              <w:left w:val="nil"/>
              <w:bottom w:val="single" w:sz="4" w:space="0" w:color="auto"/>
              <w:right w:val="single" w:sz="4" w:space="0" w:color="auto"/>
            </w:tcBorders>
            <w:shd w:val="clear" w:color="auto" w:fill="auto"/>
            <w:noWrap/>
            <w:vAlign w:val="center"/>
            <w:hideMark/>
          </w:tcPr>
          <w:p w14:paraId="7C971198" w14:textId="77777777" w:rsidR="007D7373" w:rsidRPr="002238CA" w:rsidRDefault="007D7373" w:rsidP="00821801">
            <w:pPr>
              <w:keepNext/>
              <w:jc w:val="center"/>
              <w:rPr>
                <w:rFonts w:cs="Calibri"/>
                <w:color w:val="000000"/>
                <w:sz w:val="20"/>
                <w:szCs w:val="20"/>
              </w:rPr>
            </w:pPr>
            <w:r>
              <w:rPr>
                <w:rFonts w:cs="Calibri"/>
                <w:color w:val="000000"/>
                <w:sz w:val="20"/>
                <w:szCs w:val="20"/>
              </w:rPr>
              <w:t>2.87%</w:t>
            </w:r>
          </w:p>
        </w:tc>
      </w:tr>
      <w:tr w:rsidR="007D7373" w:rsidRPr="002238CA" w14:paraId="42AF6227" w14:textId="77777777" w:rsidTr="00821801">
        <w:trPr>
          <w:trHeight w:val="144"/>
          <w:jc w:val="center"/>
        </w:trPr>
        <w:tc>
          <w:tcPr>
            <w:tcW w:w="1600" w:type="dxa"/>
            <w:vMerge/>
            <w:tcBorders>
              <w:top w:val="nil"/>
              <w:left w:val="single" w:sz="4" w:space="0" w:color="auto"/>
              <w:bottom w:val="single" w:sz="4" w:space="0" w:color="auto"/>
              <w:right w:val="single" w:sz="4" w:space="0" w:color="auto"/>
            </w:tcBorders>
            <w:vAlign w:val="center"/>
            <w:hideMark/>
          </w:tcPr>
          <w:p w14:paraId="4D3D62AC" w14:textId="77777777" w:rsidR="007D7373" w:rsidRPr="002238CA" w:rsidRDefault="007D7373" w:rsidP="00821801">
            <w:pPr>
              <w:keepNext/>
              <w:rPr>
                <w:rFonts w:cs="Calibri"/>
                <w:b/>
                <w:bCs/>
                <w:color w:val="000000"/>
                <w:sz w:val="20"/>
                <w:szCs w:val="20"/>
              </w:rPr>
            </w:pPr>
          </w:p>
        </w:tc>
        <w:tc>
          <w:tcPr>
            <w:tcW w:w="3080" w:type="dxa"/>
            <w:tcBorders>
              <w:top w:val="nil"/>
              <w:left w:val="nil"/>
              <w:bottom w:val="single" w:sz="4" w:space="0" w:color="auto"/>
              <w:right w:val="single" w:sz="4" w:space="0" w:color="auto"/>
            </w:tcBorders>
            <w:shd w:val="clear" w:color="auto" w:fill="auto"/>
            <w:noWrap/>
            <w:vAlign w:val="center"/>
            <w:hideMark/>
          </w:tcPr>
          <w:p w14:paraId="46FF3873" w14:textId="77777777" w:rsidR="007D7373" w:rsidRPr="002238CA" w:rsidRDefault="007D7373" w:rsidP="00821801">
            <w:pPr>
              <w:keepNext/>
              <w:rPr>
                <w:rFonts w:cs="Calibri"/>
                <w:color w:val="000000"/>
                <w:sz w:val="20"/>
                <w:szCs w:val="20"/>
              </w:rPr>
            </w:pPr>
            <w:r w:rsidRPr="002238CA">
              <w:rPr>
                <w:rFonts w:cs="Calibri"/>
                <w:color w:val="000000"/>
                <w:sz w:val="20"/>
                <w:szCs w:val="20"/>
              </w:rPr>
              <w:t>Temperature</w:t>
            </w:r>
          </w:p>
        </w:tc>
        <w:tc>
          <w:tcPr>
            <w:tcW w:w="1872" w:type="dxa"/>
            <w:tcBorders>
              <w:top w:val="nil"/>
              <w:left w:val="nil"/>
              <w:bottom w:val="single" w:sz="4" w:space="0" w:color="auto"/>
              <w:right w:val="single" w:sz="4" w:space="0" w:color="auto"/>
            </w:tcBorders>
            <w:shd w:val="clear" w:color="auto" w:fill="auto"/>
            <w:noWrap/>
            <w:vAlign w:val="center"/>
            <w:hideMark/>
          </w:tcPr>
          <w:p w14:paraId="4825770F" w14:textId="77777777" w:rsidR="007D7373" w:rsidRPr="002238CA" w:rsidRDefault="007D7373" w:rsidP="00821801">
            <w:pPr>
              <w:keepNext/>
              <w:jc w:val="center"/>
              <w:rPr>
                <w:rFonts w:cs="Calibri"/>
                <w:color w:val="000000"/>
                <w:sz w:val="20"/>
                <w:szCs w:val="20"/>
              </w:rPr>
            </w:pPr>
            <w:r>
              <w:rPr>
                <w:rFonts w:cs="Calibri"/>
                <w:color w:val="000000"/>
                <w:sz w:val="20"/>
                <w:szCs w:val="20"/>
              </w:rPr>
              <w:t>77.4</w:t>
            </w:r>
          </w:p>
        </w:tc>
        <w:tc>
          <w:tcPr>
            <w:tcW w:w="1872" w:type="dxa"/>
            <w:tcBorders>
              <w:top w:val="nil"/>
              <w:left w:val="nil"/>
              <w:bottom w:val="single" w:sz="4" w:space="0" w:color="auto"/>
              <w:right w:val="single" w:sz="4" w:space="0" w:color="auto"/>
            </w:tcBorders>
            <w:shd w:val="clear" w:color="auto" w:fill="auto"/>
            <w:noWrap/>
            <w:vAlign w:val="center"/>
            <w:hideMark/>
          </w:tcPr>
          <w:p w14:paraId="605547C6" w14:textId="77777777" w:rsidR="007D7373" w:rsidRPr="002238CA" w:rsidRDefault="007D7373" w:rsidP="00821801">
            <w:pPr>
              <w:keepNext/>
              <w:jc w:val="center"/>
              <w:rPr>
                <w:rFonts w:cs="Calibri"/>
                <w:color w:val="000000"/>
                <w:sz w:val="20"/>
                <w:szCs w:val="20"/>
              </w:rPr>
            </w:pPr>
            <w:r>
              <w:rPr>
                <w:rFonts w:cs="Calibri"/>
                <w:color w:val="000000"/>
                <w:sz w:val="20"/>
                <w:szCs w:val="20"/>
              </w:rPr>
              <w:t>79.8</w:t>
            </w:r>
          </w:p>
        </w:tc>
      </w:tr>
    </w:tbl>
    <w:p w14:paraId="28A02B96" w14:textId="77777777" w:rsidR="00473271" w:rsidRPr="00473271" w:rsidRDefault="00473271" w:rsidP="00473271"/>
    <w:p w14:paraId="235A5DDA" w14:textId="135073FF" w:rsidR="006E7BC9" w:rsidRPr="006E7BC9" w:rsidRDefault="006E7BC9" w:rsidP="006E7BC9">
      <w:pPr>
        <w:pStyle w:val="Heading3"/>
        <w:rPr>
          <w:i/>
        </w:rPr>
      </w:pPr>
      <w:bookmarkStart w:id="135" w:name="_Toc509576781"/>
      <w:r>
        <w:t xml:space="preserve">7.3.4 Current </w:t>
      </w:r>
      <w:r>
        <w:rPr>
          <w:i/>
        </w:rPr>
        <w:t xml:space="preserve">ex-post </w:t>
      </w:r>
      <w:r>
        <w:t xml:space="preserve">versus current </w:t>
      </w:r>
      <w:r>
        <w:rPr>
          <w:i/>
        </w:rPr>
        <w:t>ex-ante</w:t>
      </w:r>
      <w:bookmarkEnd w:id="135"/>
    </w:p>
    <w:p w14:paraId="79A27552" w14:textId="787DFC1A" w:rsidR="002119BC" w:rsidRPr="005259DA" w:rsidRDefault="002A561C" w:rsidP="00095AB1">
      <w:pPr>
        <w:spacing w:after="120"/>
        <w:rPr>
          <w:rFonts w:asciiTheme="minorHAnsi" w:hAnsiTheme="minorHAnsi"/>
        </w:rPr>
      </w:pPr>
      <w:r>
        <w:t xml:space="preserve">Table </w:t>
      </w:r>
      <w:r w:rsidR="007B71CC">
        <w:t>7.</w:t>
      </w:r>
      <w:r w:rsidR="00A24DCF">
        <w:t>9</w:t>
      </w:r>
      <w:r>
        <w:t xml:space="preserve"> compares the </w:t>
      </w:r>
      <w:r w:rsidR="00F2393A">
        <w:t>PY2017</w:t>
      </w:r>
      <w:r>
        <w:t xml:space="preserve"> </w:t>
      </w:r>
      <w:r w:rsidRPr="00933F01">
        <w:rPr>
          <w:i/>
        </w:rPr>
        <w:t>ex-post</w:t>
      </w:r>
      <w:r>
        <w:t xml:space="preserve"> </w:t>
      </w:r>
      <w:r w:rsidR="00302ABF">
        <w:t xml:space="preserve">TOU </w:t>
      </w:r>
      <w:r>
        <w:t xml:space="preserve">load impacts for the August average weekday </w:t>
      </w:r>
      <w:r w:rsidR="00302ABF">
        <w:t xml:space="preserve">with </w:t>
      </w:r>
      <w:r>
        <w:t xml:space="preserve">the corresponding </w:t>
      </w:r>
      <w:r w:rsidRPr="007A5421">
        <w:rPr>
          <w:i/>
        </w:rPr>
        <w:t>ex-ante</w:t>
      </w:r>
      <w:r>
        <w:t xml:space="preserve"> forecast for </w:t>
      </w:r>
      <w:r w:rsidR="00F2393A">
        <w:t>2018</w:t>
      </w:r>
      <w:r w:rsidR="00D15280">
        <w:t xml:space="preserve"> (of the SDG&amp;E 1-in-2 August average weekday)</w:t>
      </w:r>
      <w:r>
        <w:t xml:space="preserve"> produced in this study</w:t>
      </w:r>
      <w:r w:rsidR="00A24DCF">
        <w:t>.</w:t>
      </w:r>
      <w:r w:rsidR="00302ABF">
        <w:t xml:space="preserve"> The TOU load impacts </w:t>
      </w:r>
      <w:r w:rsidR="00A24DCF">
        <w:t xml:space="preserve">are presented for all TOU customers and </w:t>
      </w:r>
      <w:r w:rsidR="00302ABF">
        <w:t xml:space="preserve">are </w:t>
      </w:r>
      <w:r w:rsidR="004727C1">
        <w:t>averaged over the RA window.</w:t>
      </w:r>
      <w:r w:rsidR="004727C1">
        <w:rPr>
          <w:rStyle w:val="FootnoteReference"/>
        </w:rPr>
        <w:footnoteReference w:id="22"/>
      </w:r>
      <w:r w:rsidR="004727C1">
        <w:t xml:space="preserve"> </w:t>
      </w:r>
      <w:r w:rsidR="002540A3">
        <w:t xml:space="preserve">Recall that </w:t>
      </w:r>
      <w:r w:rsidR="002540A3">
        <w:rPr>
          <w:rFonts w:asciiTheme="minorHAnsi" w:hAnsiTheme="minorHAnsi"/>
        </w:rPr>
        <w:t>SDG&amp;E has made changes to the TOU periods (</w:t>
      </w:r>
      <w:r w:rsidR="002540A3">
        <w:rPr>
          <w:rFonts w:asciiTheme="minorHAnsi" w:hAnsiTheme="minorHAnsi"/>
          <w:i/>
        </w:rPr>
        <w:t xml:space="preserve">e.g. </w:t>
      </w:r>
      <w:r w:rsidR="002540A3">
        <w:rPr>
          <w:rFonts w:asciiTheme="minorHAnsi" w:hAnsiTheme="minorHAnsi"/>
        </w:rPr>
        <w:t xml:space="preserve">peak, off-peak); therefore, the TOU periods differ between the </w:t>
      </w:r>
      <w:r w:rsidR="002540A3">
        <w:rPr>
          <w:rFonts w:asciiTheme="minorHAnsi" w:hAnsiTheme="minorHAnsi"/>
          <w:i/>
        </w:rPr>
        <w:t>ex-</w:t>
      </w:r>
      <w:r w:rsidR="002540A3" w:rsidRPr="002540A3">
        <w:rPr>
          <w:rFonts w:asciiTheme="minorHAnsi" w:hAnsiTheme="minorHAnsi"/>
          <w:i/>
        </w:rPr>
        <w:t>post</w:t>
      </w:r>
      <w:r w:rsidR="002540A3">
        <w:rPr>
          <w:rFonts w:asciiTheme="minorHAnsi" w:hAnsiTheme="minorHAnsi"/>
        </w:rPr>
        <w:t xml:space="preserve"> and </w:t>
      </w:r>
      <w:r w:rsidR="002540A3" w:rsidRPr="002540A3">
        <w:rPr>
          <w:rFonts w:asciiTheme="minorHAnsi" w:hAnsiTheme="minorHAnsi"/>
        </w:rPr>
        <w:t>ex</w:t>
      </w:r>
      <w:r w:rsidR="002540A3">
        <w:rPr>
          <w:rFonts w:asciiTheme="minorHAnsi" w:hAnsiTheme="minorHAnsi"/>
          <w:i/>
        </w:rPr>
        <w:t>-ante</w:t>
      </w:r>
      <w:r w:rsidR="002540A3">
        <w:t xml:space="preserve"> analyses. </w:t>
      </w:r>
      <w:r w:rsidR="002540A3">
        <w:rPr>
          <w:rFonts w:asciiTheme="minorHAnsi" w:hAnsiTheme="minorHAnsi"/>
        </w:rPr>
        <w:t xml:space="preserve"> T</w:t>
      </w:r>
      <w:r w:rsidR="002119BC" w:rsidRPr="002D2952">
        <w:rPr>
          <w:rFonts w:asciiTheme="minorHAnsi" w:hAnsiTheme="minorHAnsi"/>
        </w:rPr>
        <w:t xml:space="preserve">he </w:t>
      </w:r>
      <w:r w:rsidR="002119BC" w:rsidRPr="0093402E">
        <w:rPr>
          <w:rFonts w:asciiTheme="minorHAnsi" w:hAnsiTheme="minorHAnsi"/>
          <w:i/>
        </w:rPr>
        <w:t>ex-ante</w:t>
      </w:r>
      <w:r w:rsidR="002119BC" w:rsidRPr="002D2952">
        <w:rPr>
          <w:rFonts w:asciiTheme="minorHAnsi" w:hAnsiTheme="minorHAnsi"/>
        </w:rPr>
        <w:t xml:space="preserve"> </w:t>
      </w:r>
      <w:r w:rsidR="002540A3">
        <w:rPr>
          <w:rFonts w:asciiTheme="minorHAnsi" w:hAnsiTheme="minorHAnsi"/>
        </w:rPr>
        <w:t>load impacts are based upon</w:t>
      </w:r>
      <w:r w:rsidR="002119BC" w:rsidRPr="002D2952">
        <w:rPr>
          <w:rFonts w:asciiTheme="minorHAnsi" w:hAnsiTheme="minorHAnsi"/>
        </w:rPr>
        <w:t xml:space="preserve"> </w:t>
      </w:r>
      <w:r w:rsidR="002119BC" w:rsidRPr="0093402E">
        <w:rPr>
          <w:rFonts w:asciiTheme="minorHAnsi" w:hAnsiTheme="minorHAnsi"/>
          <w:i/>
        </w:rPr>
        <w:t>ex-post</w:t>
      </w:r>
      <w:r w:rsidR="002119BC" w:rsidRPr="002D2952">
        <w:rPr>
          <w:rFonts w:asciiTheme="minorHAnsi" w:hAnsiTheme="minorHAnsi"/>
        </w:rPr>
        <w:t xml:space="preserve"> </w:t>
      </w:r>
      <w:r w:rsidR="002540A3">
        <w:rPr>
          <w:rFonts w:asciiTheme="minorHAnsi" w:hAnsiTheme="minorHAnsi"/>
        </w:rPr>
        <w:t xml:space="preserve">percentage </w:t>
      </w:r>
      <w:r w:rsidR="002119BC" w:rsidRPr="002D2952">
        <w:rPr>
          <w:rFonts w:asciiTheme="minorHAnsi" w:hAnsiTheme="minorHAnsi"/>
        </w:rPr>
        <w:t>load impacts</w:t>
      </w:r>
      <w:r w:rsidR="002540A3">
        <w:rPr>
          <w:rFonts w:asciiTheme="minorHAnsi" w:hAnsiTheme="minorHAnsi"/>
        </w:rPr>
        <w:t xml:space="preserve"> </w:t>
      </w:r>
      <w:r w:rsidR="00830E6F">
        <w:rPr>
          <w:rFonts w:asciiTheme="minorHAnsi" w:hAnsiTheme="minorHAnsi"/>
        </w:rPr>
        <w:t xml:space="preserve">for </w:t>
      </w:r>
      <w:r w:rsidR="002540A3">
        <w:rPr>
          <w:rFonts w:asciiTheme="minorHAnsi" w:hAnsiTheme="minorHAnsi"/>
        </w:rPr>
        <w:t xml:space="preserve">each TOU period. Per-customer reference loads are </w:t>
      </w:r>
      <w:r w:rsidR="005259DA">
        <w:rPr>
          <w:rFonts w:asciiTheme="minorHAnsi" w:hAnsiTheme="minorHAnsi"/>
        </w:rPr>
        <w:t xml:space="preserve">slightly lower </w:t>
      </w:r>
      <w:r w:rsidR="002540A3">
        <w:rPr>
          <w:rFonts w:asciiTheme="minorHAnsi" w:hAnsiTheme="minorHAnsi"/>
        </w:rPr>
        <w:t xml:space="preserve">in </w:t>
      </w:r>
      <w:r w:rsidR="002540A3">
        <w:rPr>
          <w:rFonts w:asciiTheme="minorHAnsi" w:hAnsiTheme="minorHAnsi"/>
          <w:i/>
        </w:rPr>
        <w:t>ex-ante</w:t>
      </w:r>
      <w:r w:rsidR="005259DA">
        <w:rPr>
          <w:rFonts w:asciiTheme="minorHAnsi" w:hAnsiTheme="minorHAnsi"/>
          <w:i/>
        </w:rPr>
        <w:t xml:space="preserve"> </w:t>
      </w:r>
      <w:r w:rsidR="005259DA">
        <w:rPr>
          <w:rFonts w:asciiTheme="minorHAnsi" w:hAnsiTheme="minorHAnsi"/>
        </w:rPr>
        <w:t>while percentage load impacts are slightly higher</w:t>
      </w:r>
      <w:r w:rsidR="00830E6F">
        <w:rPr>
          <w:rFonts w:asciiTheme="minorHAnsi" w:hAnsiTheme="minorHAnsi"/>
        </w:rPr>
        <w:t xml:space="preserve"> during the RA-window</w:t>
      </w:r>
      <w:r w:rsidR="005259DA">
        <w:rPr>
          <w:rFonts w:asciiTheme="minorHAnsi" w:hAnsiTheme="minorHAnsi"/>
        </w:rPr>
        <w:t xml:space="preserve">. </w:t>
      </w:r>
    </w:p>
    <w:p w14:paraId="527C3A38" w14:textId="091BE01B" w:rsidR="005D7928" w:rsidRDefault="00821801" w:rsidP="00A24DCF">
      <w:pPr>
        <w:pStyle w:val="TableCaption"/>
        <w:keepNext/>
        <w:keepLines/>
      </w:pPr>
      <w:bookmarkStart w:id="136" w:name="_Toc509576809"/>
      <w:r>
        <w:t>Table 7.9</w:t>
      </w:r>
      <w:r w:rsidR="00A24DCF">
        <w:t>:</w:t>
      </w:r>
      <w:r w:rsidR="00A24DCF" w:rsidRPr="00A24DCF">
        <w:t xml:space="preserve"> </w:t>
      </w:r>
      <w:r w:rsidR="00A24DCF">
        <w:t xml:space="preserve">Comparison of Current </w:t>
      </w:r>
      <w:r w:rsidR="00A24DCF" w:rsidRPr="002B3851">
        <w:rPr>
          <w:i/>
        </w:rPr>
        <w:t>Ex-</w:t>
      </w:r>
      <w:r w:rsidR="00A24DCF">
        <w:rPr>
          <w:i/>
        </w:rPr>
        <w:t>P</w:t>
      </w:r>
      <w:r w:rsidR="00A24DCF" w:rsidRPr="002B3851">
        <w:rPr>
          <w:i/>
        </w:rPr>
        <w:t>ost</w:t>
      </w:r>
      <w:r w:rsidR="00A24DCF">
        <w:t xml:space="preserve"> and </w:t>
      </w:r>
      <w:r w:rsidR="00A24DCF" w:rsidRPr="002B3851">
        <w:rPr>
          <w:i/>
        </w:rPr>
        <w:t>Ex-</w:t>
      </w:r>
      <w:r w:rsidR="00A24DCF">
        <w:rPr>
          <w:i/>
        </w:rPr>
        <w:t>A</w:t>
      </w:r>
      <w:r w:rsidR="00A24DCF" w:rsidRPr="002B3851">
        <w:rPr>
          <w:i/>
        </w:rPr>
        <w:t>nte</w:t>
      </w:r>
      <w:r w:rsidR="00A24DCF">
        <w:t xml:space="preserve"> TOU Load Impacts</w:t>
      </w:r>
      <w:bookmarkEnd w:id="136"/>
    </w:p>
    <w:tbl>
      <w:tblPr>
        <w:tblW w:w="8617" w:type="dxa"/>
        <w:tblLook w:val="04A0" w:firstRow="1" w:lastRow="0" w:firstColumn="1" w:lastColumn="0" w:noHBand="0" w:noVBand="1"/>
      </w:tblPr>
      <w:tblGrid>
        <w:gridCol w:w="1600"/>
        <w:gridCol w:w="3255"/>
        <w:gridCol w:w="1890"/>
        <w:gridCol w:w="1872"/>
      </w:tblGrid>
      <w:tr w:rsidR="005D7928" w:rsidRPr="005D7928" w14:paraId="29B4B569" w14:textId="77777777" w:rsidTr="00A24DCF">
        <w:trPr>
          <w:trHeight w:val="1020"/>
        </w:trPr>
        <w:tc>
          <w:tcPr>
            <w:tcW w:w="1600" w:type="dxa"/>
            <w:tcBorders>
              <w:top w:val="single" w:sz="4" w:space="0" w:color="auto"/>
              <w:left w:val="single" w:sz="4" w:space="0" w:color="auto"/>
              <w:bottom w:val="single" w:sz="4" w:space="0" w:color="auto"/>
              <w:right w:val="nil"/>
            </w:tcBorders>
            <w:shd w:val="clear" w:color="000000" w:fill="132577"/>
            <w:noWrap/>
            <w:vAlign w:val="center"/>
            <w:hideMark/>
          </w:tcPr>
          <w:p w14:paraId="4893F495" w14:textId="77777777" w:rsidR="005D7928" w:rsidRPr="005D7928" w:rsidRDefault="005D7928" w:rsidP="005D7928">
            <w:pPr>
              <w:jc w:val="center"/>
              <w:rPr>
                <w:rFonts w:cs="Calibri"/>
                <w:b/>
                <w:bCs/>
                <w:color w:val="FFFFFF"/>
                <w:sz w:val="20"/>
                <w:szCs w:val="20"/>
              </w:rPr>
            </w:pPr>
            <w:r w:rsidRPr="005D7928">
              <w:rPr>
                <w:rFonts w:cs="Calibri"/>
                <w:b/>
                <w:bCs/>
                <w:color w:val="FFFFFF"/>
                <w:sz w:val="20"/>
                <w:szCs w:val="20"/>
              </w:rPr>
              <w:t>Season</w:t>
            </w:r>
          </w:p>
        </w:tc>
        <w:tc>
          <w:tcPr>
            <w:tcW w:w="3255" w:type="dxa"/>
            <w:tcBorders>
              <w:top w:val="single" w:sz="4" w:space="0" w:color="auto"/>
              <w:left w:val="single" w:sz="4" w:space="0" w:color="FFFFFF"/>
              <w:bottom w:val="single" w:sz="4" w:space="0" w:color="auto"/>
              <w:right w:val="single" w:sz="4" w:space="0" w:color="FFFFFF"/>
            </w:tcBorders>
            <w:shd w:val="clear" w:color="000000" w:fill="132577"/>
            <w:noWrap/>
            <w:vAlign w:val="center"/>
            <w:hideMark/>
          </w:tcPr>
          <w:p w14:paraId="6F1AD7E2" w14:textId="77777777" w:rsidR="005D7928" w:rsidRPr="005D7928" w:rsidRDefault="005D7928" w:rsidP="005D7928">
            <w:pPr>
              <w:jc w:val="center"/>
              <w:rPr>
                <w:rFonts w:cs="Calibri"/>
                <w:b/>
                <w:bCs/>
                <w:color w:val="FFFFFF"/>
                <w:sz w:val="20"/>
                <w:szCs w:val="20"/>
              </w:rPr>
            </w:pPr>
            <w:r w:rsidRPr="005D7928">
              <w:rPr>
                <w:rFonts w:cs="Calibri"/>
                <w:b/>
                <w:bCs/>
                <w:color w:val="FFFFFF"/>
                <w:sz w:val="20"/>
                <w:szCs w:val="20"/>
              </w:rPr>
              <w:t>Result</w:t>
            </w:r>
          </w:p>
        </w:tc>
        <w:tc>
          <w:tcPr>
            <w:tcW w:w="1890" w:type="dxa"/>
            <w:tcBorders>
              <w:top w:val="single" w:sz="4" w:space="0" w:color="auto"/>
              <w:left w:val="nil"/>
              <w:bottom w:val="single" w:sz="4" w:space="0" w:color="auto"/>
              <w:right w:val="nil"/>
            </w:tcBorders>
            <w:shd w:val="clear" w:color="000000" w:fill="132577"/>
            <w:vAlign w:val="center"/>
            <w:hideMark/>
          </w:tcPr>
          <w:p w14:paraId="73D8FE8C" w14:textId="77777777" w:rsidR="005D7928" w:rsidRPr="005D7928" w:rsidRDefault="005D7928" w:rsidP="005D7928">
            <w:pPr>
              <w:jc w:val="center"/>
              <w:rPr>
                <w:rFonts w:cs="Calibri"/>
                <w:b/>
                <w:bCs/>
                <w:i/>
                <w:iCs/>
                <w:color w:val="FFFFFF"/>
                <w:sz w:val="20"/>
                <w:szCs w:val="20"/>
              </w:rPr>
            </w:pPr>
            <w:r w:rsidRPr="005D7928">
              <w:rPr>
                <w:rFonts w:cs="Calibri"/>
                <w:b/>
                <w:bCs/>
                <w:i/>
                <w:iCs/>
                <w:color w:val="FFFFFF"/>
                <w:sz w:val="20"/>
                <w:szCs w:val="20"/>
              </w:rPr>
              <w:t>Ex-post</w:t>
            </w:r>
            <w:r w:rsidRPr="005D7928">
              <w:rPr>
                <w:rFonts w:cs="Calibri"/>
                <w:b/>
                <w:bCs/>
                <w:color w:val="FFFFFF"/>
                <w:sz w:val="20"/>
                <w:szCs w:val="20"/>
              </w:rPr>
              <w:t xml:space="preserve"> for 2017 Avg. Weekday </w:t>
            </w:r>
            <w:r w:rsidRPr="00A24DCF">
              <w:rPr>
                <w:rFonts w:cs="Calibri"/>
                <w:b/>
                <w:bCs/>
                <w:i/>
                <w:color w:val="FFFFFF"/>
                <w:sz w:val="20"/>
                <w:szCs w:val="20"/>
              </w:rPr>
              <w:t>from</w:t>
            </w:r>
            <w:r w:rsidRPr="005D7928">
              <w:rPr>
                <w:rFonts w:cs="Calibri"/>
                <w:b/>
                <w:bCs/>
                <w:color w:val="FFFFFF"/>
                <w:sz w:val="20"/>
                <w:szCs w:val="20"/>
              </w:rPr>
              <w:t xml:space="preserve"> PY2017 Study</w:t>
            </w:r>
          </w:p>
        </w:tc>
        <w:tc>
          <w:tcPr>
            <w:tcW w:w="1872" w:type="dxa"/>
            <w:tcBorders>
              <w:top w:val="single" w:sz="4" w:space="0" w:color="auto"/>
              <w:left w:val="single" w:sz="4" w:space="0" w:color="FFFFFF"/>
              <w:bottom w:val="single" w:sz="4" w:space="0" w:color="auto"/>
              <w:right w:val="single" w:sz="4" w:space="0" w:color="auto"/>
            </w:tcBorders>
            <w:shd w:val="clear" w:color="000000" w:fill="132577"/>
            <w:vAlign w:val="center"/>
            <w:hideMark/>
          </w:tcPr>
          <w:p w14:paraId="66AA2E07" w14:textId="77777777" w:rsidR="005D7928" w:rsidRPr="005D7928" w:rsidRDefault="005D7928" w:rsidP="005D7928">
            <w:pPr>
              <w:jc w:val="center"/>
              <w:rPr>
                <w:rFonts w:cs="Calibri"/>
                <w:b/>
                <w:bCs/>
                <w:i/>
                <w:iCs/>
                <w:color w:val="FFFFFF"/>
                <w:sz w:val="20"/>
                <w:szCs w:val="20"/>
              </w:rPr>
            </w:pPr>
            <w:r w:rsidRPr="005D7928">
              <w:rPr>
                <w:rFonts w:cs="Calibri"/>
                <w:b/>
                <w:bCs/>
                <w:i/>
                <w:iCs/>
                <w:color w:val="FFFFFF"/>
                <w:sz w:val="20"/>
                <w:szCs w:val="20"/>
              </w:rPr>
              <w:t xml:space="preserve">Ex-ante for 2018 Avg. Weekday </w:t>
            </w:r>
            <w:r w:rsidRPr="00A24DCF">
              <w:rPr>
                <w:rFonts w:cs="Calibri"/>
                <w:b/>
                <w:bCs/>
                <w:i/>
                <w:iCs/>
                <w:color w:val="FFFFFF"/>
                <w:sz w:val="20"/>
                <w:szCs w:val="20"/>
              </w:rPr>
              <w:t>from</w:t>
            </w:r>
            <w:r w:rsidRPr="005D7928">
              <w:rPr>
                <w:rFonts w:cs="Calibri"/>
                <w:b/>
                <w:bCs/>
                <w:i/>
                <w:iCs/>
                <w:color w:val="FFFFFF"/>
                <w:sz w:val="20"/>
                <w:szCs w:val="20"/>
              </w:rPr>
              <w:t xml:space="preserve"> PY2017 Study</w:t>
            </w:r>
          </w:p>
        </w:tc>
      </w:tr>
      <w:tr w:rsidR="005D7928" w:rsidRPr="005D7928" w14:paraId="3E6FFE7C" w14:textId="77777777" w:rsidTr="00A24DCF">
        <w:trPr>
          <w:trHeight w:val="144"/>
        </w:trPr>
        <w:tc>
          <w:tcPr>
            <w:tcW w:w="1600" w:type="dxa"/>
            <w:vMerge w:val="restart"/>
            <w:tcBorders>
              <w:top w:val="nil"/>
              <w:left w:val="single" w:sz="4" w:space="0" w:color="auto"/>
              <w:bottom w:val="single" w:sz="4" w:space="0" w:color="000000"/>
              <w:right w:val="single" w:sz="4" w:space="0" w:color="auto"/>
            </w:tcBorders>
            <w:shd w:val="clear" w:color="auto" w:fill="auto"/>
            <w:vAlign w:val="center"/>
            <w:hideMark/>
          </w:tcPr>
          <w:p w14:paraId="14A04215" w14:textId="77777777" w:rsidR="005D7928" w:rsidRPr="005D7928" w:rsidRDefault="005D7928" w:rsidP="005D7928">
            <w:pPr>
              <w:jc w:val="center"/>
              <w:rPr>
                <w:rFonts w:cs="Calibri"/>
                <w:b/>
                <w:bCs/>
                <w:color w:val="000000"/>
                <w:sz w:val="20"/>
                <w:szCs w:val="20"/>
              </w:rPr>
            </w:pPr>
            <w:r w:rsidRPr="005D7928">
              <w:rPr>
                <w:rFonts w:cs="Calibri"/>
                <w:b/>
                <w:bCs/>
                <w:color w:val="000000"/>
                <w:sz w:val="20"/>
                <w:szCs w:val="20"/>
              </w:rPr>
              <w:t>Summer (August)</w:t>
            </w:r>
          </w:p>
        </w:tc>
        <w:tc>
          <w:tcPr>
            <w:tcW w:w="3255" w:type="dxa"/>
            <w:tcBorders>
              <w:top w:val="nil"/>
              <w:left w:val="nil"/>
              <w:bottom w:val="single" w:sz="4" w:space="0" w:color="auto"/>
              <w:right w:val="single" w:sz="4" w:space="0" w:color="auto"/>
            </w:tcBorders>
            <w:shd w:val="clear" w:color="auto" w:fill="auto"/>
            <w:noWrap/>
            <w:vAlign w:val="center"/>
            <w:hideMark/>
          </w:tcPr>
          <w:p w14:paraId="6313D74C" w14:textId="77777777" w:rsidR="005D7928" w:rsidRPr="005D7928" w:rsidRDefault="005D7928" w:rsidP="005D7928">
            <w:pPr>
              <w:rPr>
                <w:rFonts w:cs="Calibri"/>
                <w:color w:val="000000"/>
                <w:sz w:val="20"/>
                <w:szCs w:val="20"/>
              </w:rPr>
            </w:pPr>
            <w:r w:rsidRPr="005D7928">
              <w:rPr>
                <w:rFonts w:cs="Calibri"/>
                <w:color w:val="000000"/>
                <w:sz w:val="20"/>
                <w:szCs w:val="20"/>
              </w:rPr>
              <w:t># Enrolled</w:t>
            </w:r>
          </w:p>
        </w:tc>
        <w:tc>
          <w:tcPr>
            <w:tcW w:w="1890" w:type="dxa"/>
            <w:tcBorders>
              <w:top w:val="nil"/>
              <w:left w:val="nil"/>
              <w:bottom w:val="single" w:sz="4" w:space="0" w:color="auto"/>
              <w:right w:val="single" w:sz="4" w:space="0" w:color="auto"/>
            </w:tcBorders>
            <w:shd w:val="clear" w:color="auto" w:fill="auto"/>
            <w:noWrap/>
            <w:vAlign w:val="center"/>
            <w:hideMark/>
          </w:tcPr>
          <w:p w14:paraId="0B377D3E" w14:textId="77777777" w:rsidR="005D7928" w:rsidRPr="005D7928" w:rsidRDefault="005D7928" w:rsidP="005D7928">
            <w:pPr>
              <w:jc w:val="center"/>
              <w:rPr>
                <w:rFonts w:cs="Calibri"/>
                <w:color w:val="000000"/>
                <w:sz w:val="20"/>
                <w:szCs w:val="20"/>
              </w:rPr>
            </w:pPr>
            <w:r w:rsidRPr="005D7928">
              <w:rPr>
                <w:rFonts w:cs="Calibri"/>
                <w:color w:val="000000"/>
                <w:sz w:val="20"/>
                <w:szCs w:val="20"/>
              </w:rPr>
              <w:t>6,396</w:t>
            </w:r>
          </w:p>
        </w:tc>
        <w:tc>
          <w:tcPr>
            <w:tcW w:w="1872" w:type="dxa"/>
            <w:tcBorders>
              <w:top w:val="nil"/>
              <w:left w:val="nil"/>
              <w:bottom w:val="single" w:sz="4" w:space="0" w:color="auto"/>
              <w:right w:val="single" w:sz="4" w:space="0" w:color="auto"/>
            </w:tcBorders>
            <w:shd w:val="clear" w:color="auto" w:fill="auto"/>
            <w:noWrap/>
            <w:vAlign w:val="center"/>
            <w:hideMark/>
          </w:tcPr>
          <w:p w14:paraId="6ACC65F3" w14:textId="77777777" w:rsidR="005D7928" w:rsidRPr="005D7928" w:rsidRDefault="005D7928" w:rsidP="005D7928">
            <w:pPr>
              <w:jc w:val="center"/>
              <w:rPr>
                <w:rFonts w:cs="Calibri"/>
                <w:color w:val="000000"/>
                <w:sz w:val="20"/>
                <w:szCs w:val="20"/>
              </w:rPr>
            </w:pPr>
            <w:r w:rsidRPr="005D7928">
              <w:rPr>
                <w:rFonts w:cs="Calibri"/>
                <w:color w:val="000000"/>
                <w:sz w:val="20"/>
                <w:szCs w:val="20"/>
              </w:rPr>
              <w:t>7,096</w:t>
            </w:r>
          </w:p>
        </w:tc>
      </w:tr>
      <w:tr w:rsidR="005D7928" w:rsidRPr="005D7928" w14:paraId="75569515" w14:textId="77777777" w:rsidTr="00A24DCF">
        <w:trPr>
          <w:trHeight w:val="144"/>
        </w:trPr>
        <w:tc>
          <w:tcPr>
            <w:tcW w:w="1600" w:type="dxa"/>
            <w:vMerge/>
            <w:tcBorders>
              <w:top w:val="nil"/>
              <w:left w:val="single" w:sz="4" w:space="0" w:color="auto"/>
              <w:bottom w:val="single" w:sz="4" w:space="0" w:color="000000"/>
              <w:right w:val="single" w:sz="4" w:space="0" w:color="auto"/>
            </w:tcBorders>
            <w:vAlign w:val="center"/>
            <w:hideMark/>
          </w:tcPr>
          <w:p w14:paraId="6982A167" w14:textId="77777777" w:rsidR="005D7928" w:rsidRPr="005D7928" w:rsidRDefault="005D7928" w:rsidP="005D7928">
            <w:pPr>
              <w:rPr>
                <w:rFonts w:cs="Calibri"/>
                <w:b/>
                <w:bCs/>
                <w:color w:val="000000"/>
                <w:sz w:val="20"/>
                <w:szCs w:val="20"/>
              </w:rPr>
            </w:pPr>
          </w:p>
        </w:tc>
        <w:tc>
          <w:tcPr>
            <w:tcW w:w="3255" w:type="dxa"/>
            <w:tcBorders>
              <w:top w:val="nil"/>
              <w:left w:val="nil"/>
              <w:bottom w:val="single" w:sz="4" w:space="0" w:color="auto"/>
              <w:right w:val="single" w:sz="4" w:space="0" w:color="auto"/>
            </w:tcBorders>
            <w:shd w:val="clear" w:color="auto" w:fill="auto"/>
            <w:noWrap/>
            <w:vAlign w:val="center"/>
            <w:hideMark/>
          </w:tcPr>
          <w:p w14:paraId="5376DBC3" w14:textId="77777777" w:rsidR="005D7928" w:rsidRPr="005D7928" w:rsidRDefault="005D7928" w:rsidP="005D7928">
            <w:pPr>
              <w:rPr>
                <w:rFonts w:cs="Calibri"/>
                <w:color w:val="000000"/>
                <w:sz w:val="20"/>
                <w:szCs w:val="20"/>
              </w:rPr>
            </w:pPr>
            <w:r w:rsidRPr="005D7928">
              <w:rPr>
                <w:rFonts w:cs="Calibri"/>
                <w:color w:val="000000"/>
                <w:sz w:val="20"/>
                <w:szCs w:val="20"/>
              </w:rPr>
              <w:t>Reference (MWh/h)</w:t>
            </w:r>
          </w:p>
        </w:tc>
        <w:tc>
          <w:tcPr>
            <w:tcW w:w="1890" w:type="dxa"/>
            <w:tcBorders>
              <w:top w:val="nil"/>
              <w:left w:val="nil"/>
              <w:bottom w:val="single" w:sz="4" w:space="0" w:color="auto"/>
              <w:right w:val="single" w:sz="4" w:space="0" w:color="auto"/>
            </w:tcBorders>
            <w:shd w:val="clear" w:color="auto" w:fill="auto"/>
            <w:noWrap/>
            <w:vAlign w:val="center"/>
            <w:hideMark/>
          </w:tcPr>
          <w:p w14:paraId="11D99E89" w14:textId="77777777" w:rsidR="005D7928" w:rsidRPr="005D7928" w:rsidRDefault="005D7928" w:rsidP="005D7928">
            <w:pPr>
              <w:jc w:val="center"/>
              <w:rPr>
                <w:rFonts w:cs="Calibri"/>
                <w:color w:val="000000"/>
                <w:sz w:val="20"/>
                <w:szCs w:val="20"/>
              </w:rPr>
            </w:pPr>
            <w:r w:rsidRPr="005D7928">
              <w:rPr>
                <w:rFonts w:cs="Calibri"/>
                <w:color w:val="000000"/>
                <w:sz w:val="20"/>
                <w:szCs w:val="20"/>
              </w:rPr>
              <w:t>6.77</w:t>
            </w:r>
          </w:p>
        </w:tc>
        <w:tc>
          <w:tcPr>
            <w:tcW w:w="1872" w:type="dxa"/>
            <w:tcBorders>
              <w:top w:val="nil"/>
              <w:left w:val="nil"/>
              <w:bottom w:val="single" w:sz="4" w:space="0" w:color="auto"/>
              <w:right w:val="single" w:sz="4" w:space="0" w:color="auto"/>
            </w:tcBorders>
            <w:shd w:val="clear" w:color="auto" w:fill="auto"/>
            <w:noWrap/>
            <w:vAlign w:val="center"/>
            <w:hideMark/>
          </w:tcPr>
          <w:p w14:paraId="64A3A750" w14:textId="77777777" w:rsidR="005D7928" w:rsidRPr="005D7928" w:rsidRDefault="005D7928" w:rsidP="005D7928">
            <w:pPr>
              <w:jc w:val="center"/>
              <w:rPr>
                <w:rFonts w:cs="Calibri"/>
                <w:color w:val="000000"/>
                <w:sz w:val="20"/>
                <w:szCs w:val="20"/>
              </w:rPr>
            </w:pPr>
            <w:r w:rsidRPr="005D7928">
              <w:rPr>
                <w:rFonts w:cs="Calibri"/>
                <w:color w:val="000000"/>
                <w:sz w:val="20"/>
                <w:szCs w:val="20"/>
              </w:rPr>
              <w:t>7.31</w:t>
            </w:r>
          </w:p>
        </w:tc>
      </w:tr>
      <w:tr w:rsidR="005D7928" w:rsidRPr="005D7928" w14:paraId="64B56450" w14:textId="77777777" w:rsidTr="00A24DCF">
        <w:trPr>
          <w:trHeight w:val="144"/>
        </w:trPr>
        <w:tc>
          <w:tcPr>
            <w:tcW w:w="1600" w:type="dxa"/>
            <w:vMerge/>
            <w:tcBorders>
              <w:top w:val="nil"/>
              <w:left w:val="single" w:sz="4" w:space="0" w:color="auto"/>
              <w:bottom w:val="single" w:sz="4" w:space="0" w:color="000000"/>
              <w:right w:val="single" w:sz="4" w:space="0" w:color="auto"/>
            </w:tcBorders>
            <w:vAlign w:val="center"/>
            <w:hideMark/>
          </w:tcPr>
          <w:p w14:paraId="15A22B7C" w14:textId="77777777" w:rsidR="005D7928" w:rsidRPr="005D7928" w:rsidRDefault="005D7928" w:rsidP="005D7928">
            <w:pPr>
              <w:rPr>
                <w:rFonts w:cs="Calibri"/>
                <w:b/>
                <w:bCs/>
                <w:color w:val="000000"/>
                <w:sz w:val="20"/>
                <w:szCs w:val="20"/>
              </w:rPr>
            </w:pPr>
          </w:p>
        </w:tc>
        <w:tc>
          <w:tcPr>
            <w:tcW w:w="3255" w:type="dxa"/>
            <w:tcBorders>
              <w:top w:val="nil"/>
              <w:left w:val="nil"/>
              <w:bottom w:val="single" w:sz="4" w:space="0" w:color="auto"/>
              <w:right w:val="single" w:sz="4" w:space="0" w:color="auto"/>
            </w:tcBorders>
            <w:shd w:val="clear" w:color="auto" w:fill="auto"/>
            <w:noWrap/>
            <w:vAlign w:val="center"/>
            <w:hideMark/>
          </w:tcPr>
          <w:p w14:paraId="096AFA68" w14:textId="77777777" w:rsidR="005D7928" w:rsidRPr="005D7928" w:rsidRDefault="005D7928" w:rsidP="005D7928">
            <w:pPr>
              <w:rPr>
                <w:rFonts w:cs="Calibri"/>
                <w:color w:val="000000"/>
                <w:sz w:val="20"/>
                <w:szCs w:val="20"/>
              </w:rPr>
            </w:pPr>
            <w:r w:rsidRPr="005D7928">
              <w:rPr>
                <w:rFonts w:cs="Calibri"/>
                <w:color w:val="000000"/>
                <w:sz w:val="20"/>
                <w:szCs w:val="20"/>
              </w:rPr>
              <w:t>Load Impact (MWh/h)</w:t>
            </w:r>
          </w:p>
        </w:tc>
        <w:tc>
          <w:tcPr>
            <w:tcW w:w="1890" w:type="dxa"/>
            <w:tcBorders>
              <w:top w:val="nil"/>
              <w:left w:val="nil"/>
              <w:bottom w:val="single" w:sz="4" w:space="0" w:color="auto"/>
              <w:right w:val="single" w:sz="4" w:space="0" w:color="auto"/>
            </w:tcBorders>
            <w:shd w:val="clear" w:color="auto" w:fill="auto"/>
            <w:noWrap/>
            <w:vAlign w:val="center"/>
            <w:hideMark/>
          </w:tcPr>
          <w:p w14:paraId="681530C2" w14:textId="77777777" w:rsidR="005D7928" w:rsidRPr="005D7928" w:rsidRDefault="005D7928" w:rsidP="005D7928">
            <w:pPr>
              <w:jc w:val="center"/>
              <w:rPr>
                <w:rFonts w:cs="Calibri"/>
                <w:color w:val="000000"/>
                <w:sz w:val="20"/>
                <w:szCs w:val="20"/>
              </w:rPr>
            </w:pPr>
            <w:r w:rsidRPr="005D7928">
              <w:rPr>
                <w:rFonts w:cs="Calibri"/>
                <w:color w:val="000000"/>
                <w:sz w:val="20"/>
                <w:szCs w:val="20"/>
              </w:rPr>
              <w:t>0.19</w:t>
            </w:r>
          </w:p>
        </w:tc>
        <w:tc>
          <w:tcPr>
            <w:tcW w:w="1872" w:type="dxa"/>
            <w:tcBorders>
              <w:top w:val="nil"/>
              <w:left w:val="nil"/>
              <w:bottom w:val="single" w:sz="4" w:space="0" w:color="auto"/>
              <w:right w:val="single" w:sz="4" w:space="0" w:color="auto"/>
            </w:tcBorders>
            <w:shd w:val="clear" w:color="auto" w:fill="auto"/>
            <w:noWrap/>
            <w:vAlign w:val="center"/>
            <w:hideMark/>
          </w:tcPr>
          <w:p w14:paraId="0FFC7F89" w14:textId="77777777" w:rsidR="005D7928" w:rsidRPr="005D7928" w:rsidRDefault="005D7928" w:rsidP="005D7928">
            <w:pPr>
              <w:jc w:val="center"/>
              <w:rPr>
                <w:rFonts w:cs="Calibri"/>
                <w:color w:val="000000"/>
                <w:sz w:val="20"/>
                <w:szCs w:val="20"/>
              </w:rPr>
            </w:pPr>
            <w:r w:rsidRPr="005D7928">
              <w:rPr>
                <w:rFonts w:cs="Calibri"/>
                <w:color w:val="000000"/>
                <w:sz w:val="20"/>
                <w:szCs w:val="20"/>
              </w:rPr>
              <w:t>0.23</w:t>
            </w:r>
          </w:p>
        </w:tc>
      </w:tr>
      <w:tr w:rsidR="005D7928" w:rsidRPr="005D7928" w14:paraId="40A7A4C0" w14:textId="77777777" w:rsidTr="00A24DCF">
        <w:trPr>
          <w:trHeight w:val="144"/>
        </w:trPr>
        <w:tc>
          <w:tcPr>
            <w:tcW w:w="1600" w:type="dxa"/>
            <w:vMerge/>
            <w:tcBorders>
              <w:top w:val="nil"/>
              <w:left w:val="single" w:sz="4" w:space="0" w:color="auto"/>
              <w:bottom w:val="single" w:sz="4" w:space="0" w:color="000000"/>
              <w:right w:val="single" w:sz="4" w:space="0" w:color="auto"/>
            </w:tcBorders>
            <w:vAlign w:val="center"/>
            <w:hideMark/>
          </w:tcPr>
          <w:p w14:paraId="1DD63E16" w14:textId="77777777" w:rsidR="005D7928" w:rsidRPr="005D7928" w:rsidRDefault="005D7928" w:rsidP="005D7928">
            <w:pPr>
              <w:rPr>
                <w:rFonts w:cs="Calibri"/>
                <w:b/>
                <w:bCs/>
                <w:color w:val="000000"/>
                <w:sz w:val="20"/>
                <w:szCs w:val="20"/>
              </w:rPr>
            </w:pPr>
          </w:p>
        </w:tc>
        <w:tc>
          <w:tcPr>
            <w:tcW w:w="3255" w:type="dxa"/>
            <w:tcBorders>
              <w:top w:val="nil"/>
              <w:left w:val="nil"/>
              <w:bottom w:val="single" w:sz="4" w:space="0" w:color="auto"/>
              <w:right w:val="single" w:sz="4" w:space="0" w:color="auto"/>
            </w:tcBorders>
            <w:shd w:val="clear" w:color="auto" w:fill="auto"/>
            <w:noWrap/>
            <w:vAlign w:val="center"/>
            <w:hideMark/>
          </w:tcPr>
          <w:p w14:paraId="3F18907C" w14:textId="77777777" w:rsidR="005D7928" w:rsidRPr="005D7928" w:rsidRDefault="005D7928" w:rsidP="005D7928">
            <w:pPr>
              <w:rPr>
                <w:rFonts w:cs="Calibri"/>
                <w:color w:val="000000"/>
                <w:sz w:val="20"/>
                <w:szCs w:val="20"/>
              </w:rPr>
            </w:pPr>
            <w:r w:rsidRPr="005D7928">
              <w:rPr>
                <w:rFonts w:cs="Calibri"/>
                <w:color w:val="000000"/>
                <w:sz w:val="20"/>
                <w:szCs w:val="20"/>
              </w:rPr>
              <w:t>Per-customer reference (kWh/h)</w:t>
            </w:r>
          </w:p>
        </w:tc>
        <w:tc>
          <w:tcPr>
            <w:tcW w:w="1890" w:type="dxa"/>
            <w:tcBorders>
              <w:top w:val="nil"/>
              <w:left w:val="nil"/>
              <w:bottom w:val="single" w:sz="4" w:space="0" w:color="auto"/>
              <w:right w:val="single" w:sz="4" w:space="0" w:color="auto"/>
            </w:tcBorders>
            <w:shd w:val="clear" w:color="auto" w:fill="auto"/>
            <w:noWrap/>
            <w:vAlign w:val="center"/>
            <w:hideMark/>
          </w:tcPr>
          <w:p w14:paraId="2C6BAB42" w14:textId="77777777" w:rsidR="005D7928" w:rsidRPr="005D7928" w:rsidRDefault="005D7928" w:rsidP="005D7928">
            <w:pPr>
              <w:jc w:val="center"/>
              <w:rPr>
                <w:rFonts w:cs="Calibri"/>
                <w:color w:val="000000"/>
                <w:sz w:val="20"/>
                <w:szCs w:val="20"/>
              </w:rPr>
            </w:pPr>
            <w:r w:rsidRPr="005D7928">
              <w:rPr>
                <w:rFonts w:cs="Calibri"/>
                <w:color w:val="000000"/>
                <w:sz w:val="20"/>
                <w:szCs w:val="20"/>
              </w:rPr>
              <w:t>1.06</w:t>
            </w:r>
          </w:p>
        </w:tc>
        <w:tc>
          <w:tcPr>
            <w:tcW w:w="1872" w:type="dxa"/>
            <w:tcBorders>
              <w:top w:val="nil"/>
              <w:left w:val="nil"/>
              <w:bottom w:val="single" w:sz="4" w:space="0" w:color="auto"/>
              <w:right w:val="single" w:sz="4" w:space="0" w:color="auto"/>
            </w:tcBorders>
            <w:shd w:val="clear" w:color="auto" w:fill="auto"/>
            <w:noWrap/>
            <w:vAlign w:val="center"/>
            <w:hideMark/>
          </w:tcPr>
          <w:p w14:paraId="3995BE05" w14:textId="77777777" w:rsidR="005D7928" w:rsidRPr="005D7928" w:rsidRDefault="005D7928" w:rsidP="005D7928">
            <w:pPr>
              <w:jc w:val="center"/>
              <w:rPr>
                <w:rFonts w:cs="Calibri"/>
                <w:color w:val="000000"/>
                <w:sz w:val="20"/>
                <w:szCs w:val="20"/>
              </w:rPr>
            </w:pPr>
            <w:r w:rsidRPr="005D7928">
              <w:rPr>
                <w:rFonts w:cs="Calibri"/>
                <w:color w:val="000000"/>
                <w:sz w:val="20"/>
                <w:szCs w:val="20"/>
              </w:rPr>
              <w:t>1.03</w:t>
            </w:r>
          </w:p>
        </w:tc>
      </w:tr>
      <w:tr w:rsidR="005D7928" w:rsidRPr="005D7928" w14:paraId="276A5311" w14:textId="77777777" w:rsidTr="00A24DCF">
        <w:trPr>
          <w:trHeight w:val="144"/>
        </w:trPr>
        <w:tc>
          <w:tcPr>
            <w:tcW w:w="1600" w:type="dxa"/>
            <w:vMerge/>
            <w:tcBorders>
              <w:top w:val="nil"/>
              <w:left w:val="single" w:sz="4" w:space="0" w:color="auto"/>
              <w:bottom w:val="single" w:sz="4" w:space="0" w:color="000000"/>
              <w:right w:val="single" w:sz="4" w:space="0" w:color="auto"/>
            </w:tcBorders>
            <w:vAlign w:val="center"/>
            <w:hideMark/>
          </w:tcPr>
          <w:p w14:paraId="7A6838E8" w14:textId="77777777" w:rsidR="005D7928" w:rsidRPr="005D7928" w:rsidRDefault="005D7928" w:rsidP="005D7928">
            <w:pPr>
              <w:rPr>
                <w:rFonts w:cs="Calibri"/>
                <w:b/>
                <w:bCs/>
                <w:color w:val="000000"/>
                <w:sz w:val="20"/>
                <w:szCs w:val="20"/>
              </w:rPr>
            </w:pPr>
          </w:p>
        </w:tc>
        <w:tc>
          <w:tcPr>
            <w:tcW w:w="3255" w:type="dxa"/>
            <w:tcBorders>
              <w:top w:val="nil"/>
              <w:left w:val="nil"/>
              <w:bottom w:val="single" w:sz="4" w:space="0" w:color="auto"/>
              <w:right w:val="single" w:sz="4" w:space="0" w:color="auto"/>
            </w:tcBorders>
            <w:shd w:val="clear" w:color="auto" w:fill="auto"/>
            <w:noWrap/>
            <w:vAlign w:val="center"/>
            <w:hideMark/>
          </w:tcPr>
          <w:p w14:paraId="0B5C1059" w14:textId="77777777" w:rsidR="005D7928" w:rsidRPr="005D7928" w:rsidRDefault="005D7928" w:rsidP="005D7928">
            <w:pPr>
              <w:rPr>
                <w:rFonts w:cs="Calibri"/>
                <w:color w:val="000000"/>
                <w:sz w:val="20"/>
                <w:szCs w:val="20"/>
              </w:rPr>
            </w:pPr>
            <w:r w:rsidRPr="005D7928">
              <w:rPr>
                <w:rFonts w:cs="Calibri"/>
                <w:color w:val="000000"/>
                <w:sz w:val="20"/>
                <w:szCs w:val="20"/>
              </w:rPr>
              <w:t>Per-customer load impact (kWh/h)</w:t>
            </w:r>
          </w:p>
        </w:tc>
        <w:tc>
          <w:tcPr>
            <w:tcW w:w="1890" w:type="dxa"/>
            <w:tcBorders>
              <w:top w:val="nil"/>
              <w:left w:val="nil"/>
              <w:bottom w:val="single" w:sz="4" w:space="0" w:color="auto"/>
              <w:right w:val="single" w:sz="4" w:space="0" w:color="auto"/>
            </w:tcBorders>
            <w:shd w:val="clear" w:color="auto" w:fill="auto"/>
            <w:noWrap/>
            <w:vAlign w:val="center"/>
            <w:hideMark/>
          </w:tcPr>
          <w:p w14:paraId="65EBE7BE" w14:textId="77777777" w:rsidR="005D7928" w:rsidRPr="005D7928" w:rsidRDefault="005D7928" w:rsidP="005D7928">
            <w:pPr>
              <w:jc w:val="center"/>
              <w:rPr>
                <w:rFonts w:cs="Calibri"/>
                <w:color w:val="000000"/>
                <w:sz w:val="20"/>
                <w:szCs w:val="20"/>
              </w:rPr>
            </w:pPr>
            <w:r w:rsidRPr="005D7928">
              <w:rPr>
                <w:rFonts w:cs="Calibri"/>
                <w:color w:val="000000"/>
                <w:sz w:val="20"/>
                <w:szCs w:val="20"/>
              </w:rPr>
              <w:t>0.03</w:t>
            </w:r>
          </w:p>
        </w:tc>
        <w:tc>
          <w:tcPr>
            <w:tcW w:w="1872" w:type="dxa"/>
            <w:tcBorders>
              <w:top w:val="nil"/>
              <w:left w:val="nil"/>
              <w:bottom w:val="single" w:sz="4" w:space="0" w:color="auto"/>
              <w:right w:val="single" w:sz="4" w:space="0" w:color="auto"/>
            </w:tcBorders>
            <w:shd w:val="clear" w:color="auto" w:fill="auto"/>
            <w:noWrap/>
            <w:vAlign w:val="center"/>
            <w:hideMark/>
          </w:tcPr>
          <w:p w14:paraId="262653D1" w14:textId="77777777" w:rsidR="005D7928" w:rsidRPr="005D7928" w:rsidRDefault="005D7928" w:rsidP="005D7928">
            <w:pPr>
              <w:jc w:val="center"/>
              <w:rPr>
                <w:rFonts w:cs="Calibri"/>
                <w:color w:val="000000"/>
                <w:sz w:val="20"/>
                <w:szCs w:val="20"/>
              </w:rPr>
            </w:pPr>
            <w:r w:rsidRPr="005D7928">
              <w:rPr>
                <w:rFonts w:cs="Calibri"/>
                <w:color w:val="000000"/>
                <w:sz w:val="20"/>
                <w:szCs w:val="20"/>
              </w:rPr>
              <w:t>0.03</w:t>
            </w:r>
          </w:p>
        </w:tc>
      </w:tr>
      <w:tr w:rsidR="005D7928" w:rsidRPr="005D7928" w14:paraId="16639016" w14:textId="77777777" w:rsidTr="00A24DCF">
        <w:trPr>
          <w:trHeight w:val="144"/>
        </w:trPr>
        <w:tc>
          <w:tcPr>
            <w:tcW w:w="1600" w:type="dxa"/>
            <w:vMerge/>
            <w:tcBorders>
              <w:top w:val="nil"/>
              <w:left w:val="single" w:sz="4" w:space="0" w:color="auto"/>
              <w:bottom w:val="single" w:sz="4" w:space="0" w:color="000000"/>
              <w:right w:val="single" w:sz="4" w:space="0" w:color="auto"/>
            </w:tcBorders>
            <w:vAlign w:val="center"/>
            <w:hideMark/>
          </w:tcPr>
          <w:p w14:paraId="35017A5C" w14:textId="77777777" w:rsidR="005D7928" w:rsidRPr="005D7928" w:rsidRDefault="005D7928" w:rsidP="005D7928">
            <w:pPr>
              <w:rPr>
                <w:rFonts w:cs="Calibri"/>
                <w:b/>
                <w:bCs/>
                <w:color w:val="000000"/>
                <w:sz w:val="20"/>
                <w:szCs w:val="20"/>
              </w:rPr>
            </w:pPr>
          </w:p>
        </w:tc>
        <w:tc>
          <w:tcPr>
            <w:tcW w:w="3255" w:type="dxa"/>
            <w:tcBorders>
              <w:top w:val="nil"/>
              <w:left w:val="nil"/>
              <w:bottom w:val="single" w:sz="4" w:space="0" w:color="auto"/>
              <w:right w:val="single" w:sz="4" w:space="0" w:color="auto"/>
            </w:tcBorders>
            <w:shd w:val="clear" w:color="auto" w:fill="auto"/>
            <w:noWrap/>
            <w:vAlign w:val="center"/>
            <w:hideMark/>
          </w:tcPr>
          <w:p w14:paraId="14BFE454" w14:textId="77777777" w:rsidR="005D7928" w:rsidRPr="005D7928" w:rsidRDefault="005D7928" w:rsidP="005D7928">
            <w:pPr>
              <w:rPr>
                <w:rFonts w:cs="Calibri"/>
                <w:color w:val="000000"/>
                <w:sz w:val="20"/>
                <w:szCs w:val="20"/>
              </w:rPr>
            </w:pPr>
            <w:r w:rsidRPr="005D7928">
              <w:rPr>
                <w:rFonts w:cs="Calibri"/>
                <w:color w:val="000000"/>
                <w:sz w:val="20"/>
                <w:szCs w:val="20"/>
              </w:rPr>
              <w:t>% Load Impact</w:t>
            </w:r>
          </w:p>
        </w:tc>
        <w:tc>
          <w:tcPr>
            <w:tcW w:w="1890" w:type="dxa"/>
            <w:tcBorders>
              <w:top w:val="nil"/>
              <w:left w:val="nil"/>
              <w:bottom w:val="single" w:sz="4" w:space="0" w:color="auto"/>
              <w:right w:val="single" w:sz="4" w:space="0" w:color="auto"/>
            </w:tcBorders>
            <w:shd w:val="clear" w:color="auto" w:fill="auto"/>
            <w:noWrap/>
            <w:vAlign w:val="center"/>
            <w:hideMark/>
          </w:tcPr>
          <w:p w14:paraId="20A73A3E" w14:textId="77777777" w:rsidR="005D7928" w:rsidRPr="005D7928" w:rsidRDefault="005D7928" w:rsidP="005D7928">
            <w:pPr>
              <w:jc w:val="center"/>
              <w:rPr>
                <w:rFonts w:cs="Calibri"/>
                <w:color w:val="000000"/>
                <w:sz w:val="20"/>
                <w:szCs w:val="20"/>
              </w:rPr>
            </w:pPr>
            <w:r w:rsidRPr="005D7928">
              <w:rPr>
                <w:rFonts w:cs="Calibri"/>
                <w:color w:val="000000"/>
                <w:sz w:val="20"/>
                <w:szCs w:val="20"/>
              </w:rPr>
              <w:t>2.87%</w:t>
            </w:r>
          </w:p>
        </w:tc>
        <w:tc>
          <w:tcPr>
            <w:tcW w:w="1872" w:type="dxa"/>
            <w:tcBorders>
              <w:top w:val="nil"/>
              <w:left w:val="nil"/>
              <w:bottom w:val="single" w:sz="4" w:space="0" w:color="auto"/>
              <w:right w:val="single" w:sz="4" w:space="0" w:color="auto"/>
            </w:tcBorders>
            <w:shd w:val="clear" w:color="auto" w:fill="auto"/>
            <w:noWrap/>
            <w:vAlign w:val="center"/>
            <w:hideMark/>
          </w:tcPr>
          <w:p w14:paraId="4A721A30" w14:textId="77777777" w:rsidR="005D7928" w:rsidRPr="005D7928" w:rsidRDefault="005D7928" w:rsidP="005D7928">
            <w:pPr>
              <w:jc w:val="center"/>
              <w:rPr>
                <w:rFonts w:cs="Calibri"/>
                <w:color w:val="000000"/>
                <w:sz w:val="20"/>
                <w:szCs w:val="20"/>
              </w:rPr>
            </w:pPr>
            <w:r w:rsidRPr="005D7928">
              <w:rPr>
                <w:rFonts w:cs="Calibri"/>
                <w:color w:val="000000"/>
                <w:sz w:val="20"/>
                <w:szCs w:val="20"/>
              </w:rPr>
              <w:t>3.09%</w:t>
            </w:r>
          </w:p>
        </w:tc>
      </w:tr>
      <w:tr w:rsidR="005D7928" w:rsidRPr="005D7928" w14:paraId="50FCAD40" w14:textId="77777777" w:rsidTr="00A24DCF">
        <w:trPr>
          <w:trHeight w:val="144"/>
        </w:trPr>
        <w:tc>
          <w:tcPr>
            <w:tcW w:w="1600" w:type="dxa"/>
            <w:vMerge/>
            <w:tcBorders>
              <w:top w:val="nil"/>
              <w:left w:val="single" w:sz="4" w:space="0" w:color="auto"/>
              <w:bottom w:val="single" w:sz="4" w:space="0" w:color="000000"/>
              <w:right w:val="single" w:sz="4" w:space="0" w:color="auto"/>
            </w:tcBorders>
            <w:vAlign w:val="center"/>
            <w:hideMark/>
          </w:tcPr>
          <w:p w14:paraId="049B5E02" w14:textId="77777777" w:rsidR="005D7928" w:rsidRPr="005D7928" w:rsidRDefault="005D7928" w:rsidP="005D7928">
            <w:pPr>
              <w:rPr>
                <w:rFonts w:cs="Calibri"/>
                <w:b/>
                <w:bCs/>
                <w:color w:val="000000"/>
                <w:sz w:val="20"/>
                <w:szCs w:val="20"/>
              </w:rPr>
            </w:pPr>
          </w:p>
        </w:tc>
        <w:tc>
          <w:tcPr>
            <w:tcW w:w="3255" w:type="dxa"/>
            <w:tcBorders>
              <w:top w:val="nil"/>
              <w:left w:val="nil"/>
              <w:bottom w:val="single" w:sz="4" w:space="0" w:color="auto"/>
              <w:right w:val="single" w:sz="4" w:space="0" w:color="auto"/>
            </w:tcBorders>
            <w:shd w:val="clear" w:color="auto" w:fill="auto"/>
            <w:noWrap/>
            <w:vAlign w:val="center"/>
            <w:hideMark/>
          </w:tcPr>
          <w:p w14:paraId="5772272D" w14:textId="77777777" w:rsidR="005D7928" w:rsidRPr="005D7928" w:rsidRDefault="005D7928" w:rsidP="005D7928">
            <w:pPr>
              <w:rPr>
                <w:rFonts w:cs="Calibri"/>
                <w:color w:val="000000"/>
                <w:sz w:val="20"/>
                <w:szCs w:val="20"/>
              </w:rPr>
            </w:pPr>
            <w:r w:rsidRPr="005D7928">
              <w:rPr>
                <w:rFonts w:cs="Calibri"/>
                <w:color w:val="000000"/>
                <w:sz w:val="20"/>
                <w:szCs w:val="20"/>
              </w:rPr>
              <w:t>Temperature</w:t>
            </w:r>
          </w:p>
        </w:tc>
        <w:tc>
          <w:tcPr>
            <w:tcW w:w="1890" w:type="dxa"/>
            <w:tcBorders>
              <w:top w:val="nil"/>
              <w:left w:val="nil"/>
              <w:bottom w:val="single" w:sz="4" w:space="0" w:color="auto"/>
              <w:right w:val="single" w:sz="4" w:space="0" w:color="auto"/>
            </w:tcBorders>
            <w:shd w:val="clear" w:color="auto" w:fill="auto"/>
            <w:noWrap/>
            <w:vAlign w:val="center"/>
            <w:hideMark/>
          </w:tcPr>
          <w:p w14:paraId="5155C8E1" w14:textId="77777777" w:rsidR="005D7928" w:rsidRPr="005D7928" w:rsidRDefault="005D7928" w:rsidP="005D7928">
            <w:pPr>
              <w:jc w:val="center"/>
              <w:rPr>
                <w:rFonts w:cs="Calibri"/>
                <w:color w:val="000000"/>
                <w:sz w:val="20"/>
                <w:szCs w:val="20"/>
              </w:rPr>
            </w:pPr>
            <w:r w:rsidRPr="005D7928">
              <w:rPr>
                <w:rFonts w:cs="Calibri"/>
                <w:color w:val="000000"/>
                <w:sz w:val="20"/>
                <w:szCs w:val="20"/>
              </w:rPr>
              <w:t>79.8</w:t>
            </w:r>
          </w:p>
        </w:tc>
        <w:tc>
          <w:tcPr>
            <w:tcW w:w="1872" w:type="dxa"/>
            <w:tcBorders>
              <w:top w:val="nil"/>
              <w:left w:val="nil"/>
              <w:bottom w:val="single" w:sz="4" w:space="0" w:color="auto"/>
              <w:right w:val="single" w:sz="4" w:space="0" w:color="auto"/>
            </w:tcBorders>
            <w:shd w:val="clear" w:color="auto" w:fill="auto"/>
            <w:noWrap/>
            <w:vAlign w:val="center"/>
            <w:hideMark/>
          </w:tcPr>
          <w:p w14:paraId="63085047" w14:textId="77777777" w:rsidR="005D7928" w:rsidRPr="005D7928" w:rsidRDefault="005D7928" w:rsidP="005D7928">
            <w:pPr>
              <w:jc w:val="center"/>
              <w:rPr>
                <w:rFonts w:cs="Calibri"/>
                <w:color w:val="000000"/>
                <w:sz w:val="20"/>
                <w:szCs w:val="20"/>
              </w:rPr>
            </w:pPr>
            <w:r w:rsidRPr="005D7928">
              <w:rPr>
                <w:rFonts w:cs="Calibri"/>
                <w:color w:val="000000"/>
                <w:sz w:val="20"/>
                <w:szCs w:val="20"/>
              </w:rPr>
              <w:t>80.6</w:t>
            </w:r>
          </w:p>
        </w:tc>
      </w:tr>
    </w:tbl>
    <w:p w14:paraId="01B7A49A" w14:textId="77777777" w:rsidR="00AB6BD8" w:rsidRDefault="00AB6BD8" w:rsidP="00182142"/>
    <w:p w14:paraId="142CE1EA" w14:textId="42CA9A63" w:rsidR="002A561C" w:rsidRDefault="00D81CEB" w:rsidP="00095AB1">
      <w:pPr>
        <w:pStyle w:val="Heading1"/>
        <w:spacing w:after="120"/>
      </w:pPr>
      <w:bookmarkStart w:id="137" w:name="_Toc199299563"/>
      <w:bookmarkStart w:id="138" w:name="_Toc509576782"/>
      <w:r>
        <w:t>8</w:t>
      </w:r>
      <w:r w:rsidR="002A561C" w:rsidRPr="00AB65A8">
        <w:t>. Recommendations</w:t>
      </w:r>
      <w:bookmarkEnd w:id="137"/>
      <w:bookmarkEnd w:id="138"/>
    </w:p>
    <w:p w14:paraId="6BFC576E" w14:textId="1DB05F46" w:rsidR="002A561C" w:rsidRDefault="000258C5" w:rsidP="00095AB1">
      <w:pPr>
        <w:spacing w:after="120"/>
      </w:pPr>
      <w:r>
        <w:t>Calling more CPP event days (as appropriate) would provide a basis to estimate how CPP load impacts vary with weather conditions or day type (</w:t>
      </w:r>
      <w:r w:rsidRPr="00667B8C">
        <w:rPr>
          <w:i/>
        </w:rPr>
        <w:t>e.g.</w:t>
      </w:r>
      <w:r>
        <w:t xml:space="preserve">, month of year or day of week). This evaluation provided clear evidence of CPP demand response, but the fact </w:t>
      </w:r>
      <w:r>
        <w:lastRenderedPageBreak/>
        <w:t xml:space="preserve">that only one event was called </w:t>
      </w:r>
      <w:r w:rsidR="004A101A">
        <w:t xml:space="preserve">in 2016, and only three events were called in 2017 </w:t>
      </w:r>
      <w:r>
        <w:t xml:space="preserve">limited our ability to </w:t>
      </w:r>
      <w:r w:rsidR="00FC21B8">
        <w:t xml:space="preserve">explore the weather sensitivity of estimated load impacts, and to </w:t>
      </w:r>
      <w:r>
        <w:t xml:space="preserve">vary load impacts across </w:t>
      </w:r>
      <w:r w:rsidRPr="00667B8C">
        <w:rPr>
          <w:i/>
        </w:rPr>
        <w:t>ex-ante</w:t>
      </w:r>
      <w:r>
        <w:t xml:space="preserve"> scenarios.</w:t>
      </w:r>
    </w:p>
    <w:p w14:paraId="4AB30ED9" w14:textId="77777777" w:rsidR="002A561C" w:rsidRDefault="002A561C" w:rsidP="00095AB1">
      <w:pPr>
        <w:pStyle w:val="Heading1"/>
        <w:spacing w:after="120"/>
      </w:pPr>
      <w:r>
        <w:br w:type="page"/>
      </w:r>
      <w:bookmarkStart w:id="139" w:name="_Toc509576783"/>
      <w:r>
        <w:lastRenderedPageBreak/>
        <w:t>Appendices</w:t>
      </w:r>
      <w:bookmarkEnd w:id="139"/>
    </w:p>
    <w:p w14:paraId="06CE42FB" w14:textId="22ED08F7" w:rsidR="0010027E" w:rsidRDefault="0010027E" w:rsidP="0010027E">
      <w:r>
        <w:t>The following Appendices are Excel files that can produce the tables required by the Protocols.</w:t>
      </w:r>
    </w:p>
    <w:p w14:paraId="524D6649" w14:textId="77777777" w:rsidR="002A561C" w:rsidRDefault="002A561C" w:rsidP="00095AB1">
      <w:pPr>
        <w:spacing w:after="120"/>
      </w:pPr>
    </w:p>
    <w:p w14:paraId="411E1E9C" w14:textId="242E7F2F" w:rsidR="00B638FC" w:rsidRDefault="00B638FC" w:rsidP="00095AB1">
      <w:pPr>
        <w:spacing w:after="120"/>
      </w:pPr>
      <w:r>
        <w:t>Appendix A</w:t>
      </w:r>
      <w:r>
        <w:tab/>
      </w:r>
      <w:r w:rsidR="00FC0B09">
        <w:t>Residential TOU and CPP</w:t>
      </w:r>
      <w:r>
        <w:t xml:space="preserve"> </w:t>
      </w:r>
      <w:r>
        <w:rPr>
          <w:i/>
        </w:rPr>
        <w:t xml:space="preserve">Ex-Post </w:t>
      </w:r>
      <w:r>
        <w:t>Load Impact Tables</w:t>
      </w:r>
    </w:p>
    <w:p w14:paraId="7E59D4FC" w14:textId="4BCD3340" w:rsidR="002A561C" w:rsidRDefault="00B638FC" w:rsidP="00095AB1">
      <w:pPr>
        <w:spacing w:after="120"/>
      </w:pPr>
      <w:r>
        <w:t>Appendix B</w:t>
      </w:r>
      <w:r w:rsidR="002A561C">
        <w:tab/>
      </w:r>
      <w:r w:rsidR="00FC0B09">
        <w:t xml:space="preserve">Residential </w:t>
      </w:r>
      <w:r>
        <w:t>TOU</w:t>
      </w:r>
      <w:r w:rsidR="002A561C">
        <w:t xml:space="preserve"> </w:t>
      </w:r>
      <w:r w:rsidR="00FC0B09">
        <w:t xml:space="preserve">and CPP </w:t>
      </w:r>
      <w:r w:rsidR="0023738E">
        <w:rPr>
          <w:i/>
        </w:rPr>
        <w:t>Ex-Post</w:t>
      </w:r>
      <w:r w:rsidR="002A561C">
        <w:t xml:space="preserve"> Load Impact Tables</w:t>
      </w:r>
    </w:p>
    <w:sectPr w:rsidR="002A561C" w:rsidSect="00806460">
      <w:footerReference w:type="default" r:id="rId34"/>
      <w:type w:val="continuous"/>
      <w:pgSz w:w="12240" w:h="15840"/>
      <w:pgMar w:top="1440" w:right="1800" w:bottom="1440" w:left="1800" w:header="720" w:footer="720" w:gutter="0"/>
      <w:pgNumType w:start="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A141B9C" w14:textId="77777777" w:rsidR="00DF5AFB" w:rsidRDefault="00DF5AFB">
      <w:r>
        <w:separator/>
      </w:r>
    </w:p>
  </w:endnote>
  <w:endnote w:type="continuationSeparator" w:id="0">
    <w:p w14:paraId="23214446" w14:textId="77777777" w:rsidR="00DF5AFB" w:rsidRDefault="00DF5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vantGarde">
    <w:altName w:val="Century Gothic"/>
    <w:panose1 w:val="00000000000000000000"/>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92F77" w14:textId="77777777" w:rsidR="00DF5AFB" w:rsidRDefault="00DF5AFB" w:rsidP="000B5A5D">
    <w:pPr>
      <w:pStyle w:val="FootnoteText"/>
      <w:framePr w:wrap="around" w:vAnchor="text" w:hAnchor="margin" w:xAlign="center" w:y="1"/>
      <w:rPr>
        <w:rStyle w:val="FootnoteReference"/>
      </w:rPr>
    </w:pPr>
    <w:r>
      <w:rPr>
        <w:rStyle w:val="FootnoteReference"/>
      </w:rPr>
      <w:fldChar w:fldCharType="begin"/>
    </w:r>
    <w:r>
      <w:rPr>
        <w:rStyle w:val="FootnoteReference"/>
      </w:rPr>
      <w:instrText xml:space="preserve">PAGE  </w:instrText>
    </w:r>
    <w:r>
      <w:rPr>
        <w:rStyle w:val="FootnoteReference"/>
      </w:rPr>
      <w:fldChar w:fldCharType="end"/>
    </w:r>
  </w:p>
  <w:p w14:paraId="6CEEAD03" w14:textId="77777777" w:rsidR="00DF5AFB" w:rsidRDefault="00DF5AFB">
    <w:pPr>
      <w:pStyle w:val="FootnoteTex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B5FBCE" w14:textId="77777777" w:rsidR="00DF5AFB" w:rsidRPr="003601DE" w:rsidRDefault="00DF5AFB" w:rsidP="003601DE">
    <w:pPr>
      <w:pStyle w:val="Footer"/>
      <w:rPr>
        <w:rFonts w:ascii="AvantGarde" w:hAnsi="AvantGarde"/>
        <w:sz w:val="20"/>
        <w:szCs w:val="20"/>
      </w:rPr>
    </w:pPr>
    <w:r w:rsidRPr="003601DE">
      <w:rPr>
        <w:rFonts w:ascii="AvantGarde" w:hAnsi="AvantGarde"/>
        <w:sz w:val="20"/>
        <w:szCs w:val="20"/>
      </w:rPr>
      <w:t>Christensen Associates Energy Consulting, LLC</w:t>
    </w:r>
  </w:p>
  <w:p w14:paraId="2C89ECD9" w14:textId="77777777" w:rsidR="00DF5AFB" w:rsidRPr="003C0234" w:rsidRDefault="00DF5AFB" w:rsidP="003601DE">
    <w:pPr>
      <w:pStyle w:val="Footer"/>
      <w:rPr>
        <w:rFonts w:ascii="AvantGarde" w:hAnsi="AvantGarde"/>
        <w:sz w:val="20"/>
        <w:szCs w:val="20"/>
      </w:rPr>
    </w:pPr>
    <w:smartTag w:uri="urn:schemas-microsoft-com:office:smarttags" w:element="Street">
      <w:smartTag w:uri="urn:schemas-microsoft-com:office:smarttags" w:element="address">
        <w:r w:rsidRPr="003C0234">
          <w:rPr>
            <w:rFonts w:ascii="AvantGarde" w:hAnsi="AvantGarde"/>
            <w:sz w:val="20"/>
            <w:szCs w:val="20"/>
          </w:rPr>
          <w:t>800 University Bay Drive, Suite 400</w:t>
        </w:r>
      </w:smartTag>
    </w:smartTag>
  </w:p>
  <w:p w14:paraId="42500099" w14:textId="77777777" w:rsidR="00DF5AFB" w:rsidRPr="003C0234" w:rsidRDefault="00DF5AFB" w:rsidP="003601DE">
    <w:pPr>
      <w:pStyle w:val="Footer"/>
      <w:rPr>
        <w:rFonts w:ascii="AvantGarde" w:hAnsi="AvantGarde"/>
        <w:sz w:val="20"/>
        <w:szCs w:val="20"/>
      </w:rPr>
    </w:pPr>
    <w:smartTag w:uri="urn:schemas-microsoft-com:office:smarttags" w:element="place">
      <w:smartTag w:uri="urn:schemas-microsoft-com:office:smarttags" w:element="City">
        <w:r>
          <w:rPr>
            <w:rFonts w:ascii="AvantGarde" w:hAnsi="AvantGarde"/>
            <w:sz w:val="20"/>
            <w:szCs w:val="20"/>
          </w:rPr>
          <w:t>Madison</w:t>
        </w:r>
      </w:smartTag>
      <w:r>
        <w:rPr>
          <w:rFonts w:ascii="AvantGarde" w:hAnsi="AvantGarde"/>
          <w:sz w:val="20"/>
          <w:szCs w:val="20"/>
        </w:rPr>
        <w:t xml:space="preserve">, </w:t>
      </w:r>
      <w:smartTag w:uri="urn:schemas-microsoft-com:office:smarttags" w:element="State">
        <w:r>
          <w:rPr>
            <w:rFonts w:ascii="AvantGarde" w:hAnsi="AvantGarde"/>
            <w:sz w:val="20"/>
            <w:szCs w:val="20"/>
          </w:rPr>
          <w:t>WI</w:t>
        </w:r>
      </w:smartTag>
      <w:r>
        <w:rPr>
          <w:rFonts w:ascii="AvantGarde" w:hAnsi="AvantGarde"/>
          <w:sz w:val="20"/>
          <w:szCs w:val="20"/>
        </w:rPr>
        <w:t xml:space="preserve">  </w:t>
      </w:r>
      <w:smartTag w:uri="urn:schemas-microsoft-com:office:smarttags" w:element="PostalCode">
        <w:r>
          <w:rPr>
            <w:rFonts w:ascii="AvantGarde" w:hAnsi="AvantGarde"/>
            <w:sz w:val="20"/>
            <w:szCs w:val="20"/>
          </w:rPr>
          <w:t>53705-2299</w:t>
        </w:r>
      </w:smartTag>
    </w:smartTag>
  </w:p>
  <w:p w14:paraId="1233B72A" w14:textId="77777777" w:rsidR="00DF5AFB" w:rsidRPr="003C0234" w:rsidRDefault="00DF5AFB" w:rsidP="003601DE">
    <w:pPr>
      <w:pStyle w:val="Footer"/>
      <w:rPr>
        <w:rFonts w:ascii="AvantGarde" w:hAnsi="AvantGarde"/>
        <w:sz w:val="20"/>
        <w:szCs w:val="20"/>
      </w:rPr>
    </w:pPr>
  </w:p>
  <w:p w14:paraId="650687F8" w14:textId="77777777" w:rsidR="00DF5AFB" w:rsidRPr="003601DE" w:rsidRDefault="00DF5AFB">
    <w:pPr>
      <w:pStyle w:val="Footer"/>
      <w:rPr>
        <w:rFonts w:ascii="AvantGarde" w:hAnsi="AvantGarde"/>
        <w:sz w:val="20"/>
        <w:szCs w:val="20"/>
      </w:rPr>
    </w:pPr>
    <w:r w:rsidRPr="003C0234">
      <w:rPr>
        <w:rFonts w:ascii="AvantGarde" w:hAnsi="AvantGarde"/>
        <w:sz w:val="20"/>
        <w:szCs w:val="20"/>
      </w:rPr>
      <w:t>Voice</w:t>
    </w:r>
    <w:r>
      <w:rPr>
        <w:rFonts w:ascii="AvantGarde" w:hAnsi="AvantGarde"/>
        <w:sz w:val="20"/>
        <w:szCs w:val="20"/>
      </w:rPr>
      <w:t xml:space="preserve"> </w:t>
    </w:r>
    <w:proofErr w:type="gramStart"/>
    <w:r>
      <w:rPr>
        <w:rFonts w:ascii="AvantGarde" w:hAnsi="AvantGarde"/>
        <w:sz w:val="20"/>
        <w:szCs w:val="20"/>
      </w:rPr>
      <w:t>608.231.2266  Fax</w:t>
    </w:r>
    <w:proofErr w:type="gramEnd"/>
    <w:r>
      <w:rPr>
        <w:rFonts w:ascii="AvantGarde" w:hAnsi="AvantGarde"/>
        <w:sz w:val="20"/>
        <w:szCs w:val="20"/>
      </w:rPr>
      <w:t xml:space="preserve"> 608.231.2108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6782D4A" w14:textId="12F51D53" w:rsidR="00DF5AFB" w:rsidRPr="009B66F6" w:rsidRDefault="00DF5AFB" w:rsidP="00CD37BE">
    <w:pPr>
      <w:pStyle w:val="Footer"/>
      <w:pBdr>
        <w:top w:val="single" w:sz="4" w:space="1" w:color="auto"/>
      </w:pBdr>
      <w:tabs>
        <w:tab w:val="clear" w:pos="8640"/>
        <w:tab w:val="right" w:pos="9360"/>
      </w:tabs>
    </w:pPr>
    <w:r w:rsidRPr="009B66F6">
      <w:tab/>
    </w:r>
    <w:r>
      <w:rPr>
        <w:rStyle w:val="FootnoteReference"/>
        <w:vertAlign w:val="baseline"/>
      </w:rPr>
      <w:fldChar w:fldCharType="begin"/>
    </w:r>
    <w:r>
      <w:rPr>
        <w:rStyle w:val="FootnoteReference"/>
        <w:vertAlign w:val="baseline"/>
      </w:rPr>
      <w:instrText xml:space="preserve"> PAGE </w:instrText>
    </w:r>
    <w:r>
      <w:rPr>
        <w:rStyle w:val="FootnoteReference"/>
        <w:vertAlign w:val="baseline"/>
      </w:rPr>
      <w:fldChar w:fldCharType="separate"/>
    </w:r>
    <w:r w:rsidR="002C1FA8">
      <w:rPr>
        <w:rStyle w:val="FootnoteReference"/>
        <w:noProof/>
        <w:vertAlign w:val="baseline"/>
      </w:rPr>
      <w:t>ii</w:t>
    </w:r>
    <w:r>
      <w:rPr>
        <w:rStyle w:val="FootnoteReference"/>
        <w:vertAlign w:val="baseline"/>
      </w:rPr>
      <w:fldChar w:fldCharType="end"/>
    </w:r>
    <w:r w:rsidRPr="009B66F6">
      <w:tab/>
      <w:t>CA Energy Consulting</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4DEDF" w14:textId="2B0D65E3" w:rsidR="00DF5AFB" w:rsidRPr="003D3D4C" w:rsidRDefault="00DF5AFB" w:rsidP="003D3D4C">
    <w:pPr>
      <w:pStyle w:val="Footer"/>
      <w:pBdr>
        <w:top w:val="single" w:sz="4" w:space="1" w:color="auto"/>
      </w:pBdr>
      <w:rPr>
        <w:i/>
      </w:rPr>
    </w:pPr>
    <w:r>
      <w:tab/>
    </w:r>
    <w:r>
      <w:rPr>
        <w:rStyle w:val="FootnoteReference"/>
        <w:vertAlign w:val="baseline"/>
      </w:rPr>
      <w:fldChar w:fldCharType="begin"/>
    </w:r>
    <w:r>
      <w:rPr>
        <w:rStyle w:val="FootnoteReference"/>
        <w:vertAlign w:val="baseline"/>
      </w:rPr>
      <w:instrText xml:space="preserve"> PAGE </w:instrText>
    </w:r>
    <w:r>
      <w:rPr>
        <w:rStyle w:val="FootnoteReference"/>
        <w:vertAlign w:val="baseline"/>
      </w:rPr>
      <w:fldChar w:fldCharType="separate"/>
    </w:r>
    <w:r w:rsidR="002C1FA8">
      <w:rPr>
        <w:rStyle w:val="FootnoteReference"/>
        <w:noProof/>
        <w:vertAlign w:val="baseline"/>
      </w:rPr>
      <w:t>iii</w:t>
    </w:r>
    <w:r>
      <w:rPr>
        <w:rStyle w:val="FootnoteReference"/>
        <w:vertAlign w:val="baseline"/>
      </w:rPr>
      <w:fldChar w:fldCharType="end"/>
    </w:r>
    <w:r>
      <w:rPr>
        <w:rStyle w:val="FootnoteReference"/>
        <w:vertAlign w:val="baseline"/>
      </w:rPr>
      <w:tab/>
    </w:r>
    <w:r w:rsidRPr="003D3D4C">
      <w:rPr>
        <w:rStyle w:val="FootnoteReference"/>
        <w:i/>
        <w:vertAlign w:val="baseline"/>
      </w:rPr>
      <w:t>CA Energy Consulting</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65451" w14:textId="6E2AB7B8" w:rsidR="00DF5AFB" w:rsidRPr="003D3D4C" w:rsidRDefault="00DF5AFB" w:rsidP="003D3D4C">
    <w:pPr>
      <w:pStyle w:val="Footer"/>
      <w:pBdr>
        <w:top w:val="single" w:sz="4" w:space="1" w:color="auto"/>
      </w:pBdr>
      <w:rPr>
        <w:i/>
      </w:rPr>
    </w:pPr>
    <w:r>
      <w:tab/>
    </w:r>
    <w:r>
      <w:rPr>
        <w:rStyle w:val="FootnoteReference"/>
        <w:vertAlign w:val="baseline"/>
      </w:rPr>
      <w:fldChar w:fldCharType="begin"/>
    </w:r>
    <w:r>
      <w:rPr>
        <w:rStyle w:val="FootnoteReference"/>
        <w:vertAlign w:val="baseline"/>
      </w:rPr>
      <w:instrText xml:space="preserve"> PAGE </w:instrText>
    </w:r>
    <w:r>
      <w:rPr>
        <w:rStyle w:val="FootnoteReference"/>
        <w:vertAlign w:val="baseline"/>
      </w:rPr>
      <w:fldChar w:fldCharType="separate"/>
    </w:r>
    <w:r w:rsidR="002C1FA8">
      <w:rPr>
        <w:rStyle w:val="FootnoteReference"/>
        <w:noProof/>
        <w:vertAlign w:val="baseline"/>
      </w:rPr>
      <w:t>17</w:t>
    </w:r>
    <w:r>
      <w:rPr>
        <w:rStyle w:val="FootnoteReference"/>
        <w:vertAlign w:val="baseline"/>
      </w:rPr>
      <w:fldChar w:fldCharType="end"/>
    </w:r>
    <w:r>
      <w:rPr>
        <w:rStyle w:val="FootnoteReference"/>
        <w:vertAlign w:val="baseline"/>
      </w:rPr>
      <w:tab/>
    </w:r>
    <w:r w:rsidRPr="003D3D4C">
      <w:rPr>
        <w:rStyle w:val="FootnoteReference"/>
        <w:i/>
        <w:vertAlign w:val="baseline"/>
      </w:rPr>
      <w:t>CA Energy Consulting</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F03F2E" w14:textId="77777777" w:rsidR="00DF5AFB" w:rsidRDefault="00DF5AFB">
      <w:r>
        <w:separator/>
      </w:r>
    </w:p>
  </w:footnote>
  <w:footnote w:type="continuationSeparator" w:id="0">
    <w:p w14:paraId="5D52911D" w14:textId="77777777" w:rsidR="00DF5AFB" w:rsidRDefault="00DF5AFB">
      <w:r>
        <w:continuationSeparator/>
      </w:r>
    </w:p>
  </w:footnote>
  <w:footnote w:id="1">
    <w:p w14:paraId="3227E9CF" w14:textId="161B08BB" w:rsidR="00DF5AFB" w:rsidRPr="00623EDA" w:rsidRDefault="00DF5AFB" w:rsidP="00CF5689">
      <w:pPr>
        <w:pStyle w:val="FootnoteText"/>
        <w:rPr>
          <w:rFonts w:asciiTheme="minorHAnsi" w:hAnsiTheme="minorHAnsi" w:cstheme="minorHAnsi"/>
        </w:rPr>
      </w:pPr>
      <w:r w:rsidRPr="00623EDA">
        <w:rPr>
          <w:rStyle w:val="FootnoteReference"/>
          <w:rFonts w:asciiTheme="minorHAnsi" w:hAnsiTheme="minorHAnsi" w:cstheme="minorHAnsi"/>
        </w:rPr>
        <w:footnoteRef/>
      </w:r>
      <w:r w:rsidRPr="00623EDA">
        <w:rPr>
          <w:rFonts w:asciiTheme="minorHAnsi" w:hAnsiTheme="minorHAnsi" w:cstheme="minorHAnsi"/>
        </w:rPr>
        <w:t xml:space="preserve"> Th</w:t>
      </w:r>
      <w:r>
        <w:rPr>
          <w:rFonts w:asciiTheme="minorHAnsi" w:hAnsiTheme="minorHAnsi" w:cstheme="minorHAnsi"/>
        </w:rPr>
        <w:t>ese</w:t>
      </w:r>
      <w:r w:rsidRPr="00623EDA">
        <w:rPr>
          <w:rFonts w:asciiTheme="minorHAnsi" w:hAnsiTheme="minorHAnsi" w:cstheme="minorHAnsi"/>
        </w:rPr>
        <w:t xml:space="preserve"> enrollment number</w:t>
      </w:r>
      <w:r>
        <w:rPr>
          <w:rFonts w:asciiTheme="minorHAnsi" w:hAnsiTheme="minorHAnsi" w:cstheme="minorHAnsi"/>
        </w:rPr>
        <w:t>s</w:t>
      </w:r>
      <w:r w:rsidRPr="00623EDA">
        <w:rPr>
          <w:rFonts w:asciiTheme="minorHAnsi" w:hAnsiTheme="minorHAnsi" w:cstheme="minorHAnsi"/>
        </w:rPr>
        <w:t xml:space="preserve"> </w:t>
      </w:r>
      <w:r>
        <w:rPr>
          <w:rFonts w:asciiTheme="minorHAnsi" w:hAnsiTheme="minorHAnsi" w:cstheme="minorHAnsi"/>
        </w:rPr>
        <w:t xml:space="preserve">differ from the number of </w:t>
      </w:r>
      <w:r w:rsidRPr="00623EDA">
        <w:rPr>
          <w:rFonts w:asciiTheme="minorHAnsi" w:hAnsiTheme="minorHAnsi" w:cstheme="minorHAnsi"/>
        </w:rPr>
        <w:t>customers</w:t>
      </w:r>
      <w:r>
        <w:rPr>
          <w:rFonts w:asciiTheme="minorHAnsi" w:hAnsiTheme="minorHAnsi" w:cstheme="minorHAnsi"/>
        </w:rPr>
        <w:t xml:space="preserve"> that were used in the regression models,</w:t>
      </w:r>
      <w:r w:rsidRPr="00623EDA">
        <w:rPr>
          <w:rFonts w:asciiTheme="minorHAnsi" w:hAnsiTheme="minorHAnsi" w:cstheme="minorHAnsi"/>
        </w:rPr>
        <w:t xml:space="preserve"> for whom all required data were available</w:t>
      </w:r>
      <w:r>
        <w:rPr>
          <w:rFonts w:asciiTheme="minorHAnsi" w:hAnsiTheme="minorHAnsi" w:cstheme="minorHAnsi"/>
        </w:rPr>
        <w:t xml:space="preserve"> (</w:t>
      </w:r>
      <w:r>
        <w:rPr>
          <w:rFonts w:asciiTheme="minorHAnsi" w:hAnsiTheme="minorHAnsi" w:cstheme="minorHAnsi"/>
          <w:i/>
        </w:rPr>
        <w:t>e.g.</w:t>
      </w:r>
      <w:r>
        <w:rPr>
          <w:rFonts w:asciiTheme="minorHAnsi" w:hAnsiTheme="minorHAnsi" w:cstheme="minorHAnsi"/>
        </w:rPr>
        <w:t>, all selected event-like days, as well as the event day)</w:t>
      </w:r>
      <w:r w:rsidRPr="00623EDA">
        <w:rPr>
          <w:rFonts w:asciiTheme="minorHAnsi" w:hAnsiTheme="minorHAnsi" w:cstheme="minorHAnsi"/>
        </w:rPr>
        <w:t xml:space="preserve">. </w:t>
      </w:r>
    </w:p>
  </w:footnote>
  <w:footnote w:id="2">
    <w:p w14:paraId="23589A18" w14:textId="392E6D12" w:rsidR="00DF5AFB" w:rsidRDefault="00DF5AFB">
      <w:pPr>
        <w:pStyle w:val="FootnoteText"/>
      </w:pPr>
      <w:r w:rsidRPr="00DE01CA">
        <w:rPr>
          <w:rStyle w:val="FootnoteReference"/>
          <w:rFonts w:asciiTheme="minorHAnsi" w:hAnsiTheme="minorHAnsi" w:cstheme="minorHAnsi"/>
        </w:rPr>
        <w:footnoteRef/>
      </w:r>
      <w:r w:rsidRPr="00DE01CA">
        <w:rPr>
          <w:rFonts w:asciiTheme="minorHAnsi" w:hAnsiTheme="minorHAnsi" w:cstheme="minorHAnsi"/>
        </w:rPr>
        <w:t xml:space="preserve"> </w:t>
      </w:r>
      <w:r>
        <w:rPr>
          <w:rFonts w:asciiTheme="minorHAnsi" w:hAnsiTheme="minorHAnsi" w:cstheme="minorHAnsi"/>
        </w:rPr>
        <w:t>T</w:t>
      </w:r>
      <w:r w:rsidRPr="00DE01CA">
        <w:rPr>
          <w:rFonts w:asciiTheme="minorHAnsi" w:hAnsiTheme="minorHAnsi" w:cstheme="minorHAnsi"/>
        </w:rPr>
        <w:t xml:space="preserve">he enrollment numbers shown </w:t>
      </w:r>
      <w:r>
        <w:rPr>
          <w:rFonts w:asciiTheme="minorHAnsi" w:hAnsiTheme="minorHAnsi" w:cstheme="minorHAnsi"/>
        </w:rPr>
        <w:t>differ from the number of customers used in the regression models, which use</w:t>
      </w:r>
      <w:r w:rsidRPr="00DE01CA">
        <w:rPr>
          <w:rFonts w:asciiTheme="minorHAnsi" w:hAnsiTheme="minorHAnsi" w:cstheme="minorHAnsi"/>
        </w:rPr>
        <w:t xml:space="preserve"> only those customers with sufficient program-year and pre-treatment period load data needed for matching to control groups and estimating load impacts</w:t>
      </w:r>
      <w:r>
        <w:t xml:space="preserve">. </w:t>
      </w:r>
      <w:r>
        <w:rPr>
          <w:rFonts w:asciiTheme="minorHAnsi" w:hAnsiTheme="minorHAnsi" w:cstheme="minorHAnsi"/>
        </w:rPr>
        <w:t>Specifically, there were 296 incremental customers on the DR-TOD rate with quality load data that were used in estimating the TOU load impacts. The aggregate TOU load impacts are then scaled to total enrollments.</w:t>
      </w:r>
    </w:p>
  </w:footnote>
  <w:footnote w:id="3">
    <w:p w14:paraId="093EAF86" w14:textId="05D09715" w:rsidR="00DF5AFB" w:rsidRPr="00182142" w:rsidRDefault="00DF5AFB">
      <w:pPr>
        <w:pStyle w:val="FootnoteText"/>
        <w:rPr>
          <w:rFonts w:asciiTheme="minorHAnsi" w:hAnsiTheme="minorHAnsi" w:cstheme="minorHAnsi"/>
        </w:rPr>
      </w:pPr>
      <w:r w:rsidRPr="00182142">
        <w:rPr>
          <w:rStyle w:val="FootnoteReference"/>
          <w:rFonts w:asciiTheme="minorHAnsi" w:hAnsiTheme="minorHAnsi" w:cstheme="minorHAnsi"/>
        </w:rPr>
        <w:footnoteRef/>
      </w:r>
      <w:r w:rsidRPr="00182142">
        <w:rPr>
          <w:rFonts w:asciiTheme="minorHAnsi" w:hAnsiTheme="minorHAnsi" w:cstheme="minorHAnsi"/>
        </w:rPr>
        <w:t xml:space="preserve"> The estimated load increases in the winter season were not statistically significant.</w:t>
      </w:r>
    </w:p>
  </w:footnote>
  <w:footnote w:id="4">
    <w:p w14:paraId="50BE49C7" w14:textId="00777355" w:rsidR="00DF5AFB" w:rsidRPr="009143F7" w:rsidRDefault="00DF5AFB" w:rsidP="00DE01CA">
      <w:pPr>
        <w:pStyle w:val="FootnoteText"/>
        <w:rPr>
          <w:rFonts w:asciiTheme="minorHAnsi" w:hAnsiTheme="minorHAnsi" w:cstheme="minorHAnsi"/>
        </w:rPr>
      </w:pPr>
      <w:r w:rsidRPr="009143F7">
        <w:rPr>
          <w:rStyle w:val="FootnoteReference"/>
          <w:rFonts w:asciiTheme="minorHAnsi" w:hAnsiTheme="minorHAnsi" w:cstheme="minorHAnsi"/>
        </w:rPr>
        <w:footnoteRef/>
      </w:r>
      <w:r w:rsidRPr="009143F7">
        <w:rPr>
          <w:rFonts w:asciiTheme="minorHAnsi" w:hAnsiTheme="minorHAnsi" w:cstheme="minorHAnsi"/>
        </w:rPr>
        <w:t xml:space="preserve"> The number of </w:t>
      </w:r>
      <w:r>
        <w:rPr>
          <w:rFonts w:asciiTheme="minorHAnsi" w:hAnsiTheme="minorHAnsi" w:cstheme="minorHAnsi"/>
        </w:rPr>
        <w:t>CPP</w:t>
      </w:r>
      <w:r w:rsidRPr="009143F7">
        <w:rPr>
          <w:rFonts w:asciiTheme="minorHAnsi" w:hAnsiTheme="minorHAnsi" w:cstheme="minorHAnsi"/>
        </w:rPr>
        <w:t xml:space="preserve"> customers </w:t>
      </w:r>
      <w:r>
        <w:rPr>
          <w:rFonts w:asciiTheme="minorHAnsi" w:hAnsiTheme="minorHAnsi" w:cstheme="minorHAnsi"/>
        </w:rPr>
        <w:t xml:space="preserve">included in the regressions is </w:t>
      </w:r>
      <w:r w:rsidRPr="009143F7">
        <w:rPr>
          <w:rFonts w:asciiTheme="minorHAnsi" w:hAnsiTheme="minorHAnsi" w:cstheme="minorHAnsi"/>
        </w:rPr>
        <w:t xml:space="preserve">substantially smaller </w:t>
      </w:r>
      <w:r>
        <w:rPr>
          <w:rFonts w:asciiTheme="minorHAnsi" w:hAnsiTheme="minorHAnsi" w:cstheme="minorHAnsi"/>
        </w:rPr>
        <w:t xml:space="preserve">than </w:t>
      </w:r>
      <w:r w:rsidRPr="009143F7">
        <w:rPr>
          <w:rFonts w:asciiTheme="minorHAnsi" w:hAnsiTheme="minorHAnsi" w:cstheme="minorHAnsi"/>
        </w:rPr>
        <w:t xml:space="preserve">the number </w:t>
      </w:r>
      <w:r>
        <w:rPr>
          <w:rFonts w:asciiTheme="minorHAnsi" w:hAnsiTheme="minorHAnsi" w:cstheme="minorHAnsi"/>
        </w:rPr>
        <w:t>used</w:t>
      </w:r>
      <w:r w:rsidRPr="009143F7">
        <w:rPr>
          <w:rFonts w:asciiTheme="minorHAnsi" w:hAnsiTheme="minorHAnsi" w:cstheme="minorHAnsi"/>
        </w:rPr>
        <w:t xml:space="preserve"> </w:t>
      </w:r>
      <w:r>
        <w:rPr>
          <w:rFonts w:asciiTheme="minorHAnsi" w:hAnsiTheme="minorHAnsi" w:cstheme="minorHAnsi"/>
        </w:rPr>
        <w:t xml:space="preserve">for the same group of customers </w:t>
      </w:r>
      <w:r w:rsidRPr="009143F7">
        <w:rPr>
          <w:rFonts w:asciiTheme="minorHAnsi" w:hAnsiTheme="minorHAnsi" w:cstheme="minorHAnsi"/>
        </w:rPr>
        <w:t>in the context of measuring CPP load impacts</w:t>
      </w:r>
      <w:r>
        <w:rPr>
          <w:rFonts w:asciiTheme="minorHAnsi" w:hAnsiTheme="minorHAnsi" w:cstheme="minorHAnsi"/>
        </w:rPr>
        <w:t xml:space="preserve">. This difference </w:t>
      </w:r>
      <w:r w:rsidRPr="009143F7">
        <w:rPr>
          <w:rFonts w:asciiTheme="minorHAnsi" w:hAnsiTheme="minorHAnsi" w:cstheme="minorHAnsi"/>
        </w:rPr>
        <w:t>is due to the need to have data available for both the program year and the pre-treatment period, which served as the basis for control group matching</w:t>
      </w:r>
      <w:r>
        <w:rPr>
          <w:rFonts w:asciiTheme="minorHAnsi" w:hAnsiTheme="minorHAnsi" w:cstheme="minorHAnsi"/>
        </w:rPr>
        <w:t>, whereas load data for only the event day and event-like non-event days in 2016 were required for measuring CPP load impacts</w:t>
      </w:r>
      <w:r w:rsidRPr="009143F7">
        <w:rPr>
          <w:rFonts w:asciiTheme="minorHAnsi" w:hAnsiTheme="minorHAnsi" w:cstheme="minorHAnsi"/>
        </w:rPr>
        <w:t xml:space="preserve">.  </w:t>
      </w:r>
    </w:p>
  </w:footnote>
  <w:footnote w:id="5">
    <w:p w14:paraId="2765F411" w14:textId="4DBB3A90" w:rsidR="00DF5AFB" w:rsidRPr="009133C2" w:rsidRDefault="00DF5AFB">
      <w:pPr>
        <w:pStyle w:val="FootnoteText"/>
        <w:rPr>
          <w:rFonts w:asciiTheme="minorHAnsi" w:hAnsiTheme="minorHAnsi" w:cstheme="minorHAnsi"/>
        </w:rPr>
      </w:pPr>
      <w:r w:rsidRPr="009133C2">
        <w:rPr>
          <w:rStyle w:val="FootnoteReference"/>
          <w:rFonts w:asciiTheme="minorHAnsi" w:hAnsiTheme="minorHAnsi" w:cstheme="minorHAnsi"/>
        </w:rPr>
        <w:footnoteRef/>
      </w:r>
      <w:r w:rsidRPr="009133C2">
        <w:rPr>
          <w:rFonts w:asciiTheme="minorHAnsi" w:hAnsiTheme="minorHAnsi" w:cstheme="minorHAnsi"/>
        </w:rPr>
        <w:t xml:space="preserve"> </w:t>
      </w:r>
      <w:r w:rsidRPr="00182142">
        <w:rPr>
          <w:rFonts w:asciiTheme="minorHAnsi" w:hAnsiTheme="minorHAnsi" w:cstheme="minorHAnsi"/>
        </w:rPr>
        <w:t>SDG&amp;E expects to move to default TOU pricing for its residential customers in 2019, which is not modeled in this report.</w:t>
      </w:r>
      <w:r w:rsidRPr="009133C2">
        <w:rPr>
          <w:rFonts w:asciiTheme="minorHAnsi" w:hAnsiTheme="minorHAnsi" w:cstheme="minorHAnsi"/>
        </w:rPr>
        <w:t xml:space="preserve"> </w:t>
      </w:r>
    </w:p>
  </w:footnote>
  <w:footnote w:id="6">
    <w:p w14:paraId="73353A63" w14:textId="04DDBC62" w:rsidR="00DF5AFB" w:rsidRPr="00182142" w:rsidRDefault="00DF5AFB">
      <w:pPr>
        <w:pStyle w:val="FootnoteText"/>
        <w:rPr>
          <w:rFonts w:asciiTheme="minorHAnsi" w:hAnsiTheme="minorHAnsi" w:cstheme="minorHAnsi"/>
        </w:rPr>
      </w:pPr>
      <w:r w:rsidRPr="00182142">
        <w:rPr>
          <w:rStyle w:val="FootnoteReference"/>
          <w:rFonts w:asciiTheme="minorHAnsi" w:hAnsiTheme="minorHAnsi" w:cstheme="minorHAnsi"/>
        </w:rPr>
        <w:footnoteRef/>
      </w:r>
      <w:r w:rsidRPr="00182142">
        <w:rPr>
          <w:rFonts w:asciiTheme="minorHAnsi" w:hAnsiTheme="minorHAnsi" w:cstheme="minorHAnsi"/>
        </w:rPr>
        <w:t xml:space="preserve"> Results are also reported for</w:t>
      </w:r>
      <w:r>
        <w:rPr>
          <w:rFonts w:asciiTheme="minorHAnsi" w:hAnsiTheme="minorHAnsi" w:cstheme="minorHAnsi"/>
        </w:rPr>
        <w:t xml:space="preserve"> a subset of </w:t>
      </w:r>
      <w:r w:rsidRPr="00182142">
        <w:rPr>
          <w:rFonts w:asciiTheme="minorHAnsi" w:hAnsiTheme="minorHAnsi" w:cstheme="minorHAnsi"/>
        </w:rPr>
        <w:t>CPP customers who also participated in the Small Customer Technology Deployment (SCTD) program.</w:t>
      </w:r>
    </w:p>
  </w:footnote>
  <w:footnote w:id="7">
    <w:p w14:paraId="5A8C8984" w14:textId="3EAAB24E" w:rsidR="00DF5AFB" w:rsidRPr="00FC5CB2" w:rsidRDefault="00DF5AFB">
      <w:pPr>
        <w:pStyle w:val="FootnoteText"/>
        <w:rPr>
          <w:rFonts w:asciiTheme="minorHAnsi" w:hAnsiTheme="minorHAnsi" w:cstheme="minorHAnsi"/>
        </w:rPr>
      </w:pPr>
      <w:r w:rsidRPr="00FC5CB2">
        <w:rPr>
          <w:rStyle w:val="FootnoteReference"/>
          <w:rFonts w:asciiTheme="minorHAnsi" w:hAnsiTheme="minorHAnsi" w:cstheme="minorHAnsi"/>
        </w:rPr>
        <w:footnoteRef/>
      </w:r>
      <w:r w:rsidRPr="00FC5CB2">
        <w:rPr>
          <w:rFonts w:asciiTheme="minorHAnsi" w:hAnsiTheme="minorHAnsi" w:cstheme="minorHAnsi"/>
        </w:rPr>
        <w:t xml:space="preserve"> CPP </w:t>
      </w:r>
      <w:r w:rsidRPr="00FC5CB2">
        <w:rPr>
          <w:rFonts w:asciiTheme="minorHAnsi" w:hAnsiTheme="minorHAnsi" w:cstheme="minorHAnsi"/>
          <w:i/>
        </w:rPr>
        <w:t>ex-post</w:t>
      </w:r>
      <w:r w:rsidRPr="00FC5CB2">
        <w:rPr>
          <w:rFonts w:asciiTheme="minorHAnsi" w:hAnsiTheme="minorHAnsi" w:cstheme="minorHAnsi"/>
        </w:rPr>
        <w:t xml:space="preserve"> load impacts are estimated for </w:t>
      </w:r>
      <w:r w:rsidRPr="00FC5CB2">
        <w:rPr>
          <w:rFonts w:asciiTheme="minorHAnsi" w:hAnsiTheme="minorHAnsi" w:cstheme="minorHAnsi"/>
          <w:i/>
        </w:rPr>
        <w:t>all</w:t>
      </w:r>
      <w:r w:rsidRPr="00FC5CB2">
        <w:rPr>
          <w:rFonts w:asciiTheme="minorHAnsi" w:hAnsiTheme="minorHAnsi" w:cstheme="minorHAnsi"/>
        </w:rPr>
        <w:t xml:space="preserve"> customers enrolled in CPP (TOU-DR-P) during the 2017 program year. </w:t>
      </w:r>
      <w:r w:rsidRPr="00FC5CB2">
        <w:rPr>
          <w:rFonts w:asciiTheme="minorHAnsi" w:hAnsiTheme="minorHAnsi" w:cstheme="minorHAnsi"/>
          <w:i/>
        </w:rPr>
        <w:t>Incremental</w:t>
      </w:r>
      <w:r w:rsidRPr="00FC5CB2">
        <w:rPr>
          <w:rFonts w:asciiTheme="minorHAnsi" w:hAnsiTheme="minorHAnsi" w:cstheme="minorHAnsi"/>
        </w:rPr>
        <w:t xml:space="preserve"> TOU load impacts are estimated for only those customers who enrolled in either of the rates during the September 2016 to September 2017 period. </w:t>
      </w:r>
      <w:r>
        <w:rPr>
          <w:rFonts w:asciiTheme="minorHAnsi" w:hAnsiTheme="minorHAnsi" w:cstheme="minorHAnsi"/>
        </w:rPr>
        <w:t xml:space="preserve">The </w:t>
      </w:r>
      <w:r w:rsidRPr="00182142">
        <w:rPr>
          <w:rFonts w:asciiTheme="minorHAnsi" w:hAnsiTheme="minorHAnsi" w:cstheme="minorHAnsi"/>
          <w:i/>
        </w:rPr>
        <w:t>incremental</w:t>
      </w:r>
      <w:r>
        <w:rPr>
          <w:rFonts w:asciiTheme="minorHAnsi" w:hAnsiTheme="minorHAnsi" w:cstheme="minorHAnsi"/>
        </w:rPr>
        <w:t xml:space="preserve"> TOU load impacts apply to all customers on SPP rates (TOU-DR and TOU-DR-P).</w:t>
      </w:r>
    </w:p>
  </w:footnote>
  <w:footnote w:id="8">
    <w:p w14:paraId="6B6D18E3" w14:textId="49322534" w:rsidR="00DF5AFB" w:rsidRPr="00CA43E1" w:rsidRDefault="00DF5AFB">
      <w:pPr>
        <w:pStyle w:val="FootnoteText"/>
        <w:rPr>
          <w:rFonts w:asciiTheme="minorHAnsi" w:hAnsiTheme="minorHAnsi" w:cstheme="minorHAnsi"/>
        </w:rPr>
      </w:pPr>
      <w:r w:rsidRPr="00CA43E1">
        <w:rPr>
          <w:rStyle w:val="FootnoteReference"/>
          <w:rFonts w:asciiTheme="minorHAnsi" w:hAnsiTheme="minorHAnsi" w:cstheme="minorHAnsi"/>
        </w:rPr>
        <w:footnoteRef/>
      </w:r>
      <w:r w:rsidRPr="00CA43E1">
        <w:rPr>
          <w:rFonts w:asciiTheme="minorHAnsi" w:hAnsiTheme="minorHAnsi" w:cstheme="minorHAnsi"/>
        </w:rPr>
        <w:t xml:space="preserve"> Non-commodity prices of approximately $0.263 per kWh </w:t>
      </w:r>
      <w:r>
        <w:rPr>
          <w:rFonts w:asciiTheme="minorHAnsi" w:hAnsiTheme="minorHAnsi" w:cstheme="minorHAnsi"/>
        </w:rPr>
        <w:t xml:space="preserve">in the summer </w:t>
      </w:r>
      <w:r w:rsidRPr="00CA43E1">
        <w:rPr>
          <w:rFonts w:asciiTheme="minorHAnsi" w:hAnsiTheme="minorHAnsi" w:cstheme="minorHAnsi"/>
        </w:rPr>
        <w:t xml:space="preserve">are not time-differentiated, implying that the total peak-to-off-peak price ratio is less than two-to-one. </w:t>
      </w:r>
    </w:p>
  </w:footnote>
  <w:footnote w:id="9">
    <w:p w14:paraId="3A51AED1" w14:textId="46BFAD79" w:rsidR="00DF5AFB" w:rsidRPr="00822514" w:rsidRDefault="00DF5AFB">
      <w:pPr>
        <w:pStyle w:val="FootnoteText"/>
        <w:rPr>
          <w:rFonts w:asciiTheme="minorHAnsi" w:hAnsiTheme="minorHAnsi" w:cstheme="minorHAnsi"/>
        </w:rPr>
      </w:pPr>
      <w:r w:rsidRPr="00822514">
        <w:rPr>
          <w:rStyle w:val="FootnoteReference"/>
          <w:rFonts w:asciiTheme="minorHAnsi" w:hAnsiTheme="minorHAnsi" w:cstheme="minorHAnsi"/>
        </w:rPr>
        <w:footnoteRef/>
      </w:r>
      <w:r w:rsidRPr="00822514">
        <w:rPr>
          <w:rFonts w:asciiTheme="minorHAnsi" w:hAnsiTheme="minorHAnsi" w:cstheme="minorHAnsi"/>
        </w:rPr>
        <w:t xml:space="preserve"> In cases where insufficient numbers of observations were available, we modified the approach by combining day-types. </w:t>
      </w:r>
      <w:r w:rsidRPr="00182142">
        <w:rPr>
          <w:rFonts w:asciiTheme="minorHAnsi" w:hAnsiTheme="minorHAnsi" w:cstheme="minorHAnsi"/>
        </w:rPr>
        <w:t>For example, for TOU-DR customers, we combined observations for all summer weekdays to estimate a constant summer percentage load impact</w:t>
      </w:r>
      <w:r w:rsidRPr="00CB04BA">
        <w:rPr>
          <w:rFonts w:asciiTheme="minorHAnsi" w:hAnsiTheme="minorHAnsi" w:cstheme="minorHAnsi"/>
        </w:rPr>
        <w:t>.</w:t>
      </w:r>
      <w:r>
        <w:rPr>
          <w:rFonts w:asciiTheme="minorHAnsi" w:hAnsiTheme="minorHAnsi" w:cstheme="minorHAnsi"/>
        </w:rPr>
        <w:t xml:space="preserve"> Day-type specific reference load is calculated as the day-type observed load divided by one minus the percentage load impact (</w:t>
      </w:r>
      <w:r>
        <w:rPr>
          <w:rFonts w:asciiTheme="minorHAnsi" w:hAnsiTheme="minorHAnsi" w:cstheme="minorHAnsi"/>
          <w:i/>
        </w:rPr>
        <w:t>i.e.,</w:t>
      </w:r>
      <w:r>
        <w:rPr>
          <w:rFonts w:asciiTheme="minorHAnsi" w:hAnsiTheme="minorHAnsi" w:cstheme="minorHAnsi"/>
        </w:rPr>
        <w:t xml:space="preserve"> Ref=</w:t>
      </w:r>
      <w:proofErr w:type="spellStart"/>
      <w:r>
        <w:rPr>
          <w:rFonts w:asciiTheme="minorHAnsi" w:hAnsiTheme="minorHAnsi" w:cstheme="minorHAnsi"/>
        </w:rPr>
        <w:t>Obs</w:t>
      </w:r>
      <w:proofErr w:type="spellEnd"/>
      <w:r>
        <w:rPr>
          <w:rFonts w:asciiTheme="minorHAnsi" w:hAnsiTheme="minorHAnsi" w:cstheme="minorHAnsi"/>
        </w:rPr>
        <w:t>/(1-PctLI)).</w:t>
      </w:r>
      <w:r w:rsidRPr="00822514">
        <w:rPr>
          <w:rFonts w:asciiTheme="minorHAnsi" w:hAnsiTheme="minorHAnsi" w:cstheme="minorHAnsi"/>
        </w:rPr>
        <w:t xml:space="preserve"> We can then apply the estimated percentage load impact to reference loads for the average weekday for each month to obtain monthly load impact </w:t>
      </w:r>
      <w:r w:rsidRPr="00822514">
        <w:rPr>
          <w:rFonts w:asciiTheme="minorHAnsi" w:hAnsiTheme="minorHAnsi" w:cstheme="minorHAnsi"/>
          <w:i/>
        </w:rPr>
        <w:t>levels</w:t>
      </w:r>
      <w:r w:rsidRPr="00822514">
        <w:rPr>
          <w:rFonts w:asciiTheme="minorHAnsi" w:hAnsiTheme="minorHAnsi" w:cstheme="minorHAnsi"/>
        </w:rPr>
        <w:t>.</w:t>
      </w:r>
    </w:p>
  </w:footnote>
  <w:footnote w:id="10">
    <w:p w14:paraId="207D6DD6" w14:textId="418644B9" w:rsidR="00DF5AFB" w:rsidRPr="004132DB" w:rsidRDefault="00DF5AFB" w:rsidP="008C3673">
      <w:pPr>
        <w:pStyle w:val="FootnoteText"/>
        <w:rPr>
          <w:rFonts w:ascii="Calibri" w:hAnsi="Calibri"/>
        </w:rPr>
      </w:pPr>
      <w:r w:rsidRPr="004132DB">
        <w:rPr>
          <w:rStyle w:val="FootnoteReference"/>
          <w:rFonts w:ascii="Calibri" w:hAnsi="Calibri"/>
        </w:rPr>
        <w:footnoteRef/>
      </w:r>
      <w:r w:rsidRPr="004132DB">
        <w:rPr>
          <w:rFonts w:ascii="Calibri" w:hAnsi="Calibri"/>
        </w:rPr>
        <w:t xml:space="preserve"> Note that the customer and day fixed effects remove the need for us to include stand-alone </w:t>
      </w:r>
      <w:proofErr w:type="spellStart"/>
      <w:r w:rsidRPr="004132DB">
        <w:rPr>
          <w:rFonts w:ascii="Calibri" w:hAnsi="Calibri"/>
          <w:i/>
        </w:rPr>
        <w:t>TOU</w:t>
      </w:r>
      <w:r w:rsidRPr="004132DB">
        <w:rPr>
          <w:rFonts w:ascii="Calibri" w:hAnsi="Calibri"/>
          <w:i/>
          <w:vertAlign w:val="subscript"/>
        </w:rPr>
        <w:t>c</w:t>
      </w:r>
      <w:proofErr w:type="spellEnd"/>
      <w:r w:rsidRPr="004132DB">
        <w:rPr>
          <w:rFonts w:ascii="Calibri" w:hAnsi="Calibri"/>
        </w:rPr>
        <w:t xml:space="preserve"> and </w:t>
      </w:r>
      <w:proofErr w:type="spellStart"/>
      <w:proofErr w:type="gramStart"/>
      <w:r w:rsidRPr="004132DB">
        <w:rPr>
          <w:rFonts w:ascii="Calibri" w:hAnsi="Calibri"/>
          <w:i/>
        </w:rPr>
        <w:t>Post</w:t>
      </w:r>
      <w:r w:rsidRPr="00182142">
        <w:rPr>
          <w:rFonts w:ascii="Calibri" w:hAnsi="Calibri"/>
          <w:i/>
          <w:vertAlign w:val="subscript"/>
        </w:rPr>
        <w:t>c,</w:t>
      </w:r>
      <w:r w:rsidRPr="004132DB">
        <w:rPr>
          <w:rFonts w:ascii="Calibri" w:hAnsi="Calibri"/>
          <w:i/>
          <w:vertAlign w:val="subscript"/>
        </w:rPr>
        <w:t>d</w:t>
      </w:r>
      <w:proofErr w:type="spellEnd"/>
      <w:proofErr w:type="gramEnd"/>
      <w:r w:rsidRPr="004132DB">
        <w:rPr>
          <w:rFonts w:ascii="Calibri" w:hAnsi="Calibri"/>
        </w:rPr>
        <w:t xml:space="preserve"> variables. The former is perfectly collinear with the customer’s fixed effect and the latter is perfectly collinear with a combination of day fixed effects.</w:t>
      </w:r>
    </w:p>
  </w:footnote>
  <w:footnote w:id="11">
    <w:p w14:paraId="06EB602B" w14:textId="77777777" w:rsidR="00DF5AFB" w:rsidRPr="004132DB" w:rsidRDefault="00DF5AFB" w:rsidP="008C3673">
      <w:pPr>
        <w:pStyle w:val="FootnoteText"/>
        <w:rPr>
          <w:rFonts w:ascii="Calibri" w:hAnsi="Calibri"/>
        </w:rPr>
      </w:pPr>
      <w:r w:rsidRPr="004132DB">
        <w:rPr>
          <w:rStyle w:val="FootnoteReference"/>
          <w:rFonts w:ascii="Calibri" w:hAnsi="Calibri"/>
        </w:rPr>
        <w:footnoteRef/>
      </w:r>
      <w:r w:rsidRPr="004132DB">
        <w:rPr>
          <w:rFonts w:ascii="Calibri" w:hAnsi="Calibri"/>
        </w:rPr>
        <w:t xml:space="preserve"> For CPP customers, the </w:t>
      </w:r>
      <w:proofErr w:type="spellStart"/>
      <w:r w:rsidRPr="004132DB">
        <w:rPr>
          <w:rFonts w:ascii="Calibri" w:hAnsi="Calibri"/>
          <w:i/>
        </w:rPr>
        <w:t>Evt</w:t>
      </w:r>
      <w:proofErr w:type="spellEnd"/>
      <w:r w:rsidRPr="004132DB">
        <w:rPr>
          <w:rFonts w:ascii="Calibri" w:hAnsi="Calibri"/>
        </w:rPr>
        <w:t xml:space="preserve"> variable indicates that a day is a CPP event day. For TOU customers who are also enrolled to receive RYU alerts, that variable indicates that a day is a PTR/RYU event day.</w:t>
      </w:r>
    </w:p>
  </w:footnote>
  <w:footnote w:id="12">
    <w:p w14:paraId="2A23CE9F" w14:textId="193D9D1A" w:rsidR="00DF5AFB" w:rsidRPr="000402E2" w:rsidRDefault="00DF5AFB">
      <w:pPr>
        <w:pStyle w:val="FootnoteText"/>
        <w:rPr>
          <w:rFonts w:asciiTheme="minorHAnsi" w:hAnsiTheme="minorHAnsi"/>
        </w:rPr>
      </w:pPr>
      <w:r w:rsidRPr="00C27DA2">
        <w:rPr>
          <w:rStyle w:val="FootnoteReference"/>
          <w:rFonts w:asciiTheme="minorHAnsi" w:hAnsiTheme="minorHAnsi"/>
        </w:rPr>
        <w:footnoteRef/>
      </w:r>
      <w:r w:rsidRPr="00C27DA2">
        <w:rPr>
          <w:rFonts w:asciiTheme="minorHAnsi" w:hAnsiTheme="minorHAnsi"/>
        </w:rPr>
        <w:t xml:space="preserve"> Reference loads represent estimates of the </w:t>
      </w:r>
      <w:r>
        <w:rPr>
          <w:rFonts w:asciiTheme="minorHAnsi" w:hAnsiTheme="minorHAnsi"/>
        </w:rPr>
        <w:t xml:space="preserve">counter-factual </w:t>
      </w:r>
      <w:r w:rsidRPr="00C27DA2">
        <w:rPr>
          <w:rFonts w:asciiTheme="minorHAnsi" w:hAnsiTheme="minorHAnsi"/>
        </w:rPr>
        <w:t xml:space="preserve">loads that would have prevailed on an event day if the event had not been called. </w:t>
      </w:r>
      <w:r>
        <w:rPr>
          <w:rFonts w:asciiTheme="minorHAnsi" w:hAnsiTheme="minorHAnsi"/>
        </w:rPr>
        <w:t xml:space="preserve">Mechanically, the </w:t>
      </w:r>
      <w:r w:rsidRPr="0081598E">
        <w:rPr>
          <w:rFonts w:asciiTheme="minorHAnsi" w:hAnsiTheme="minorHAnsi"/>
          <w:i/>
        </w:rPr>
        <w:t>reference</w:t>
      </w:r>
      <w:r>
        <w:rPr>
          <w:rFonts w:asciiTheme="minorHAnsi" w:hAnsiTheme="minorHAnsi"/>
        </w:rPr>
        <w:t xml:space="preserve"> loads are constructed by adding the estimated load impacts (developed in the difference-in-differences regression analysis) to the </w:t>
      </w:r>
      <w:r w:rsidRPr="0081598E">
        <w:rPr>
          <w:rFonts w:asciiTheme="minorHAnsi" w:hAnsiTheme="minorHAnsi"/>
          <w:i/>
        </w:rPr>
        <w:t>observed</w:t>
      </w:r>
      <w:r>
        <w:rPr>
          <w:rFonts w:asciiTheme="minorHAnsi" w:hAnsiTheme="minorHAnsi"/>
        </w:rPr>
        <w:t xml:space="preserve"> load of the treatment customers on the relevant event day.</w:t>
      </w:r>
      <w:r w:rsidRPr="00C27DA2">
        <w:rPr>
          <w:rFonts w:asciiTheme="minorHAnsi" w:hAnsiTheme="minorHAnsi"/>
        </w:rPr>
        <w:t xml:space="preserve"> </w:t>
      </w:r>
      <w:r>
        <w:rPr>
          <w:rFonts w:asciiTheme="minorHAnsi" w:hAnsiTheme="minorHAnsi"/>
        </w:rPr>
        <w:t xml:space="preserve">Alternatively, if percentage load impacts are estimated, then the </w:t>
      </w:r>
      <w:r>
        <w:rPr>
          <w:rFonts w:asciiTheme="minorHAnsi" w:hAnsiTheme="minorHAnsi"/>
          <w:i/>
        </w:rPr>
        <w:t xml:space="preserve">reference </w:t>
      </w:r>
      <w:r>
        <w:rPr>
          <w:rFonts w:asciiTheme="minorHAnsi" w:hAnsiTheme="minorHAnsi"/>
        </w:rPr>
        <w:t xml:space="preserve">loads are calculated by dividing the </w:t>
      </w:r>
      <w:r>
        <w:rPr>
          <w:rFonts w:asciiTheme="minorHAnsi" w:hAnsiTheme="minorHAnsi"/>
          <w:i/>
        </w:rPr>
        <w:t>observed</w:t>
      </w:r>
      <w:r>
        <w:rPr>
          <w:rFonts w:asciiTheme="minorHAnsi" w:hAnsiTheme="minorHAnsi"/>
        </w:rPr>
        <w:t xml:space="preserve"> load by one minus the percentage load impact.</w:t>
      </w:r>
    </w:p>
  </w:footnote>
  <w:footnote w:id="13">
    <w:p w14:paraId="15BC9AF3" w14:textId="6BCE3B27" w:rsidR="00DF5AFB" w:rsidRPr="00623EDA" w:rsidRDefault="00DF5AFB">
      <w:pPr>
        <w:pStyle w:val="FootnoteText"/>
        <w:rPr>
          <w:rFonts w:asciiTheme="minorHAnsi" w:hAnsiTheme="minorHAnsi" w:cstheme="minorHAnsi"/>
        </w:rPr>
      </w:pPr>
      <w:r w:rsidRPr="00623EDA">
        <w:rPr>
          <w:rStyle w:val="FootnoteReference"/>
          <w:rFonts w:asciiTheme="minorHAnsi" w:hAnsiTheme="minorHAnsi" w:cstheme="minorHAnsi"/>
        </w:rPr>
        <w:footnoteRef/>
      </w:r>
      <w:r w:rsidRPr="00623EDA">
        <w:rPr>
          <w:rFonts w:asciiTheme="minorHAnsi" w:hAnsiTheme="minorHAnsi" w:cstheme="minorHAnsi"/>
        </w:rPr>
        <w:t xml:space="preserve"> Th</w:t>
      </w:r>
      <w:r>
        <w:rPr>
          <w:rFonts w:asciiTheme="minorHAnsi" w:hAnsiTheme="minorHAnsi" w:cstheme="minorHAnsi"/>
        </w:rPr>
        <w:t>ese</w:t>
      </w:r>
      <w:r w:rsidRPr="00623EDA">
        <w:rPr>
          <w:rFonts w:asciiTheme="minorHAnsi" w:hAnsiTheme="minorHAnsi" w:cstheme="minorHAnsi"/>
        </w:rPr>
        <w:t xml:space="preserve"> enrollment number</w:t>
      </w:r>
      <w:r>
        <w:rPr>
          <w:rFonts w:asciiTheme="minorHAnsi" w:hAnsiTheme="minorHAnsi" w:cstheme="minorHAnsi"/>
        </w:rPr>
        <w:t>s</w:t>
      </w:r>
      <w:r w:rsidRPr="00623EDA">
        <w:rPr>
          <w:rFonts w:asciiTheme="minorHAnsi" w:hAnsiTheme="minorHAnsi" w:cstheme="minorHAnsi"/>
        </w:rPr>
        <w:t xml:space="preserve"> </w:t>
      </w:r>
      <w:r>
        <w:rPr>
          <w:rFonts w:asciiTheme="minorHAnsi" w:hAnsiTheme="minorHAnsi" w:cstheme="minorHAnsi"/>
        </w:rPr>
        <w:t xml:space="preserve">differ from the number of </w:t>
      </w:r>
      <w:r w:rsidRPr="00623EDA">
        <w:rPr>
          <w:rFonts w:asciiTheme="minorHAnsi" w:hAnsiTheme="minorHAnsi" w:cstheme="minorHAnsi"/>
        </w:rPr>
        <w:t xml:space="preserve">customers </w:t>
      </w:r>
      <w:r>
        <w:rPr>
          <w:rFonts w:asciiTheme="minorHAnsi" w:hAnsiTheme="minorHAnsi" w:cstheme="minorHAnsi"/>
        </w:rPr>
        <w:t xml:space="preserve">that were used in the regression models, </w:t>
      </w:r>
      <w:r w:rsidRPr="00623EDA">
        <w:rPr>
          <w:rFonts w:asciiTheme="minorHAnsi" w:hAnsiTheme="minorHAnsi" w:cstheme="minorHAnsi"/>
        </w:rPr>
        <w:t>for whom all required data were available</w:t>
      </w:r>
      <w:r>
        <w:rPr>
          <w:rFonts w:asciiTheme="minorHAnsi" w:hAnsiTheme="minorHAnsi" w:cstheme="minorHAnsi"/>
        </w:rPr>
        <w:t xml:space="preserve"> (</w:t>
      </w:r>
      <w:r>
        <w:rPr>
          <w:rFonts w:asciiTheme="minorHAnsi" w:hAnsiTheme="minorHAnsi" w:cstheme="minorHAnsi"/>
          <w:i/>
        </w:rPr>
        <w:t>e.g.</w:t>
      </w:r>
      <w:r>
        <w:rPr>
          <w:rFonts w:asciiTheme="minorHAnsi" w:hAnsiTheme="minorHAnsi" w:cstheme="minorHAnsi"/>
        </w:rPr>
        <w:t>, all selected event-like days, as well as the event day)</w:t>
      </w:r>
      <w:r w:rsidRPr="00623EDA">
        <w:rPr>
          <w:rFonts w:asciiTheme="minorHAnsi" w:hAnsiTheme="minorHAnsi" w:cstheme="minorHAnsi"/>
        </w:rPr>
        <w:t xml:space="preserve">. </w:t>
      </w:r>
      <w:r>
        <w:rPr>
          <w:rFonts w:asciiTheme="minorHAnsi" w:hAnsiTheme="minorHAnsi" w:cstheme="minorHAnsi"/>
        </w:rPr>
        <w:t>The number of CPP customers used in the regressions was 4,087. The CPP load impacts are scaled up to total program enrollments.</w:t>
      </w:r>
    </w:p>
  </w:footnote>
  <w:footnote w:id="14">
    <w:p w14:paraId="3E8D5820" w14:textId="10835695" w:rsidR="00DF5AFB" w:rsidRPr="00623EDA" w:rsidRDefault="00DF5AFB">
      <w:pPr>
        <w:pStyle w:val="FootnoteText"/>
        <w:rPr>
          <w:rFonts w:asciiTheme="minorHAnsi" w:hAnsiTheme="minorHAnsi" w:cstheme="minorHAnsi"/>
        </w:rPr>
      </w:pPr>
      <w:r w:rsidRPr="00623EDA">
        <w:rPr>
          <w:rStyle w:val="FootnoteReference"/>
          <w:rFonts w:asciiTheme="minorHAnsi" w:hAnsiTheme="minorHAnsi" w:cstheme="minorHAnsi"/>
        </w:rPr>
        <w:footnoteRef/>
      </w:r>
      <w:r w:rsidRPr="00623EDA">
        <w:rPr>
          <w:rFonts w:asciiTheme="minorHAnsi" w:hAnsiTheme="minorHAnsi" w:cstheme="minorHAnsi"/>
        </w:rPr>
        <w:t xml:space="preserve"> </w:t>
      </w:r>
      <w:r>
        <w:rPr>
          <w:rFonts w:asciiTheme="minorHAnsi" w:hAnsiTheme="minorHAnsi" w:cstheme="minorHAnsi"/>
        </w:rPr>
        <w:t>T</w:t>
      </w:r>
      <w:r w:rsidRPr="00623EDA">
        <w:rPr>
          <w:rFonts w:asciiTheme="minorHAnsi" w:hAnsiTheme="minorHAnsi" w:cstheme="minorHAnsi"/>
        </w:rPr>
        <w:t xml:space="preserve">he enrollment numbers </w:t>
      </w:r>
      <w:r>
        <w:rPr>
          <w:rFonts w:asciiTheme="minorHAnsi" w:hAnsiTheme="minorHAnsi" w:cstheme="minorHAnsi"/>
        </w:rPr>
        <w:t>in the tables differ from the number of customers used in the regression models, which is a subset of customers that have</w:t>
      </w:r>
      <w:r w:rsidRPr="00623EDA">
        <w:rPr>
          <w:rFonts w:asciiTheme="minorHAnsi" w:hAnsiTheme="minorHAnsi" w:cstheme="minorHAnsi"/>
        </w:rPr>
        <w:t xml:space="preserve"> all</w:t>
      </w:r>
      <w:r>
        <w:rPr>
          <w:rFonts w:asciiTheme="minorHAnsi" w:hAnsiTheme="minorHAnsi" w:cstheme="minorHAnsi"/>
        </w:rPr>
        <w:t xml:space="preserve"> the</w:t>
      </w:r>
      <w:r w:rsidRPr="00623EDA">
        <w:rPr>
          <w:rFonts w:asciiTheme="minorHAnsi" w:hAnsiTheme="minorHAnsi" w:cstheme="minorHAnsi"/>
        </w:rPr>
        <w:t xml:space="preserve"> required data</w:t>
      </w:r>
      <w:r>
        <w:rPr>
          <w:rFonts w:asciiTheme="minorHAnsi" w:hAnsiTheme="minorHAnsi" w:cstheme="minorHAnsi"/>
        </w:rPr>
        <w:t xml:space="preserve"> for conducting the </w:t>
      </w:r>
      <w:r w:rsidRPr="007E3124">
        <w:rPr>
          <w:rFonts w:asciiTheme="minorHAnsi" w:hAnsiTheme="minorHAnsi" w:cstheme="minorHAnsi"/>
          <w:i/>
        </w:rPr>
        <w:t>ex-post</w:t>
      </w:r>
      <w:r>
        <w:rPr>
          <w:rFonts w:asciiTheme="minorHAnsi" w:hAnsiTheme="minorHAnsi" w:cstheme="minorHAnsi"/>
        </w:rPr>
        <w:t xml:space="preserve"> load impact analysis</w:t>
      </w:r>
      <w:r w:rsidRPr="00623EDA">
        <w:rPr>
          <w:rFonts w:asciiTheme="minorHAnsi" w:hAnsiTheme="minorHAnsi" w:cstheme="minorHAnsi"/>
        </w:rPr>
        <w:t>.</w:t>
      </w:r>
      <w:r>
        <w:rPr>
          <w:rFonts w:asciiTheme="minorHAnsi" w:hAnsiTheme="minorHAnsi" w:cstheme="minorHAnsi"/>
        </w:rPr>
        <w:t xml:space="preserve"> Specifically, there were 296 incremental customers on the DR-TOD rate with quality load data that were used in estimating the TOU load impacts. The aggregate TOU load impacts are then scaled to total enrollments.</w:t>
      </w:r>
    </w:p>
  </w:footnote>
  <w:footnote w:id="15">
    <w:p w14:paraId="405F1D44" w14:textId="1F7848E9" w:rsidR="00DF5AFB" w:rsidRPr="00182142" w:rsidRDefault="00DF5AFB">
      <w:pPr>
        <w:pStyle w:val="FootnoteText"/>
        <w:rPr>
          <w:rFonts w:asciiTheme="minorHAnsi" w:hAnsiTheme="minorHAnsi" w:cstheme="minorHAnsi"/>
        </w:rPr>
      </w:pPr>
      <w:r w:rsidRPr="00182142">
        <w:rPr>
          <w:rStyle w:val="FootnoteReference"/>
          <w:rFonts w:asciiTheme="minorHAnsi" w:hAnsiTheme="minorHAnsi" w:cstheme="minorHAnsi"/>
        </w:rPr>
        <w:footnoteRef/>
      </w:r>
      <w:r w:rsidRPr="00182142">
        <w:rPr>
          <w:rFonts w:asciiTheme="minorHAnsi" w:hAnsiTheme="minorHAnsi" w:cstheme="minorHAnsi"/>
        </w:rPr>
        <w:t xml:space="preserve"> The winter TOU load impacts demonstrating an increase in usage during the TOU peak-period are not statistically significant.</w:t>
      </w:r>
    </w:p>
  </w:footnote>
  <w:footnote w:id="16">
    <w:p w14:paraId="55F6BDB6" w14:textId="7E061A6E" w:rsidR="00DF5AFB" w:rsidRDefault="00DF5AFB">
      <w:pPr>
        <w:pStyle w:val="FootnoteText"/>
      </w:pPr>
      <w:r>
        <w:rPr>
          <w:rStyle w:val="FootnoteReference"/>
        </w:rPr>
        <w:footnoteRef/>
      </w:r>
      <w:r>
        <w:t xml:space="preserve"> The increase in usage during the winter period occurs mostly during the morning and evening hours. </w:t>
      </w:r>
    </w:p>
  </w:footnote>
  <w:footnote w:id="17">
    <w:p w14:paraId="2ECACC03" w14:textId="763E1A59" w:rsidR="00DF5AFB" w:rsidRPr="009143F7" w:rsidRDefault="00DF5AFB">
      <w:pPr>
        <w:pStyle w:val="FootnoteText"/>
        <w:rPr>
          <w:rFonts w:asciiTheme="minorHAnsi" w:hAnsiTheme="minorHAnsi" w:cstheme="minorHAnsi"/>
        </w:rPr>
      </w:pPr>
      <w:r w:rsidRPr="009143F7">
        <w:rPr>
          <w:rStyle w:val="FootnoteReference"/>
          <w:rFonts w:asciiTheme="minorHAnsi" w:hAnsiTheme="minorHAnsi" w:cstheme="minorHAnsi"/>
        </w:rPr>
        <w:footnoteRef/>
      </w:r>
      <w:r w:rsidRPr="009143F7">
        <w:rPr>
          <w:rFonts w:asciiTheme="minorHAnsi" w:hAnsiTheme="minorHAnsi" w:cstheme="minorHAnsi"/>
        </w:rPr>
        <w:t xml:space="preserve"> The number of </w:t>
      </w:r>
      <w:r>
        <w:rPr>
          <w:rFonts w:asciiTheme="minorHAnsi" w:hAnsiTheme="minorHAnsi" w:cstheme="minorHAnsi"/>
        </w:rPr>
        <w:t>CPP</w:t>
      </w:r>
      <w:r w:rsidRPr="009143F7">
        <w:rPr>
          <w:rFonts w:asciiTheme="minorHAnsi" w:hAnsiTheme="minorHAnsi" w:cstheme="minorHAnsi"/>
        </w:rPr>
        <w:t xml:space="preserve"> customers</w:t>
      </w:r>
      <w:r>
        <w:rPr>
          <w:rFonts w:asciiTheme="minorHAnsi" w:hAnsiTheme="minorHAnsi" w:cstheme="minorHAnsi"/>
        </w:rPr>
        <w:t xml:space="preserve"> included in the regressions is </w:t>
      </w:r>
      <w:r w:rsidRPr="009143F7">
        <w:rPr>
          <w:rFonts w:asciiTheme="minorHAnsi" w:hAnsiTheme="minorHAnsi" w:cstheme="minorHAnsi"/>
        </w:rPr>
        <w:t xml:space="preserve">substantially smaller </w:t>
      </w:r>
      <w:r>
        <w:rPr>
          <w:rFonts w:asciiTheme="minorHAnsi" w:hAnsiTheme="minorHAnsi" w:cstheme="minorHAnsi"/>
        </w:rPr>
        <w:t xml:space="preserve">than </w:t>
      </w:r>
      <w:r w:rsidRPr="009143F7">
        <w:rPr>
          <w:rFonts w:asciiTheme="minorHAnsi" w:hAnsiTheme="minorHAnsi" w:cstheme="minorHAnsi"/>
        </w:rPr>
        <w:t xml:space="preserve">the number </w:t>
      </w:r>
      <w:r>
        <w:rPr>
          <w:rFonts w:asciiTheme="minorHAnsi" w:hAnsiTheme="minorHAnsi" w:cstheme="minorHAnsi"/>
        </w:rPr>
        <w:t>used</w:t>
      </w:r>
      <w:r w:rsidRPr="009143F7">
        <w:rPr>
          <w:rFonts w:asciiTheme="minorHAnsi" w:hAnsiTheme="minorHAnsi" w:cstheme="minorHAnsi"/>
        </w:rPr>
        <w:t xml:space="preserve"> </w:t>
      </w:r>
      <w:r>
        <w:rPr>
          <w:rFonts w:asciiTheme="minorHAnsi" w:hAnsiTheme="minorHAnsi" w:cstheme="minorHAnsi"/>
        </w:rPr>
        <w:t xml:space="preserve">for the same group of customers </w:t>
      </w:r>
      <w:r w:rsidRPr="009143F7">
        <w:rPr>
          <w:rFonts w:asciiTheme="minorHAnsi" w:hAnsiTheme="minorHAnsi" w:cstheme="minorHAnsi"/>
        </w:rPr>
        <w:t>in the context of measuring CPP load impacts</w:t>
      </w:r>
      <w:r>
        <w:rPr>
          <w:rFonts w:asciiTheme="minorHAnsi" w:hAnsiTheme="minorHAnsi" w:cstheme="minorHAnsi"/>
        </w:rPr>
        <w:t xml:space="preserve">. This difference </w:t>
      </w:r>
      <w:r w:rsidRPr="009143F7">
        <w:rPr>
          <w:rFonts w:asciiTheme="minorHAnsi" w:hAnsiTheme="minorHAnsi" w:cstheme="minorHAnsi"/>
        </w:rPr>
        <w:t>is due to the need to have data available for both the program year and the pre-treatment period, which served as the basis for control group matching</w:t>
      </w:r>
      <w:r>
        <w:rPr>
          <w:rFonts w:asciiTheme="minorHAnsi" w:hAnsiTheme="minorHAnsi" w:cstheme="minorHAnsi"/>
        </w:rPr>
        <w:t>, whereas load data for only the event day and event-like non-event days were required for measuring CPP load impacts</w:t>
      </w:r>
      <w:r w:rsidRPr="009143F7">
        <w:rPr>
          <w:rFonts w:asciiTheme="minorHAnsi" w:hAnsiTheme="minorHAnsi" w:cstheme="minorHAnsi"/>
        </w:rPr>
        <w:t xml:space="preserve">. </w:t>
      </w:r>
      <w:r>
        <w:rPr>
          <w:rFonts w:asciiTheme="minorHAnsi" w:hAnsiTheme="minorHAnsi" w:cstheme="minorHAnsi"/>
        </w:rPr>
        <w:t>There were 2,627 incremental customers on the DR-TOD-P rate with quality load data that were used in the regressions for estimating the TOU load impact for CPP customers.</w:t>
      </w:r>
      <w:r w:rsidRPr="009143F7">
        <w:rPr>
          <w:rFonts w:asciiTheme="minorHAnsi" w:hAnsiTheme="minorHAnsi" w:cstheme="minorHAnsi"/>
        </w:rPr>
        <w:t xml:space="preserve"> </w:t>
      </w:r>
    </w:p>
  </w:footnote>
  <w:footnote w:id="18">
    <w:p w14:paraId="7F38DDC5" w14:textId="77777777" w:rsidR="00DF5AFB" w:rsidRPr="00BB5846" w:rsidRDefault="00DF5AFB" w:rsidP="00CA23E4">
      <w:pPr>
        <w:rPr>
          <w:rFonts w:asciiTheme="minorHAnsi" w:hAnsiTheme="minorHAnsi" w:cstheme="minorHAnsi"/>
          <w:sz w:val="20"/>
          <w:szCs w:val="20"/>
        </w:rPr>
      </w:pPr>
      <w:r w:rsidRPr="00BB5846">
        <w:rPr>
          <w:rStyle w:val="FootnoteReference"/>
          <w:rFonts w:asciiTheme="minorHAnsi" w:hAnsiTheme="minorHAnsi" w:cstheme="minorHAnsi"/>
        </w:rPr>
        <w:footnoteRef/>
      </w:r>
      <w:r w:rsidRPr="00BB5846">
        <w:rPr>
          <w:rFonts w:asciiTheme="minorHAnsi" w:hAnsiTheme="minorHAnsi" w:cstheme="minorHAnsi"/>
        </w:rPr>
        <w:t xml:space="preserve"> </w:t>
      </w:r>
      <w:r w:rsidRPr="00BB5846">
        <w:rPr>
          <w:rFonts w:asciiTheme="minorHAnsi" w:hAnsiTheme="minorHAnsi" w:cstheme="minorHAnsi"/>
          <w:sz w:val="20"/>
          <w:szCs w:val="20"/>
        </w:rPr>
        <w:t>Customer-specific regressions are implemented to categorize customers as weather sensitive or not. Weather sensitive customers change usage in response to changes in the weather, while non-weather sensitive customers do not. Determining which customers are non-weather sensitive allows for a more parsimonious regression model by not including weather variables as explanatory variables for these customers. The following regression specification is used to determine whether a customer is weather sensitive:</w:t>
      </w:r>
    </w:p>
    <w:p w14:paraId="43A0D331" w14:textId="77777777" w:rsidR="00DF5AFB" w:rsidRPr="00182142" w:rsidRDefault="002C1FA8" w:rsidP="00CA23E4">
      <w:pPr>
        <w:rPr>
          <w:sz w:val="18"/>
          <w:szCs w:val="20"/>
        </w:rPr>
      </w:pPr>
      <m:oMathPara>
        <m:oMath>
          <m:sSub>
            <m:sSubPr>
              <m:ctrlPr>
                <w:rPr>
                  <w:rFonts w:ascii="Cambria Math" w:hAnsi="Cambria Math"/>
                  <w:i/>
                  <w:sz w:val="18"/>
                  <w:szCs w:val="20"/>
                </w:rPr>
              </m:ctrlPr>
            </m:sSubPr>
            <m:e>
              <m:r>
                <w:rPr>
                  <w:rFonts w:ascii="Cambria Math" w:hAnsi="Cambria Math"/>
                  <w:sz w:val="18"/>
                  <w:szCs w:val="20"/>
                </w:rPr>
                <m:t>Q</m:t>
              </m:r>
            </m:e>
            <m:sub>
              <m:r>
                <w:rPr>
                  <w:rFonts w:ascii="Cambria Math" w:hAnsi="Cambria Math"/>
                  <w:sz w:val="18"/>
                  <w:szCs w:val="20"/>
                </w:rPr>
                <m:t>t</m:t>
              </m:r>
            </m:sub>
          </m:sSub>
          <m:r>
            <w:rPr>
              <w:rFonts w:ascii="Cambria Math" w:hAnsi="Cambria Math"/>
              <w:sz w:val="18"/>
              <w:szCs w:val="20"/>
            </w:rPr>
            <m:t>=</m:t>
          </m:r>
          <m:sSup>
            <m:sSupPr>
              <m:ctrlPr>
                <w:rPr>
                  <w:rFonts w:ascii="Cambria Math" w:hAnsi="Cambria Math"/>
                  <w:i/>
                  <w:sz w:val="18"/>
                  <w:szCs w:val="20"/>
                </w:rPr>
              </m:ctrlPr>
            </m:sSupPr>
            <m:e>
              <m:r>
                <w:rPr>
                  <w:rFonts w:ascii="Cambria Math" w:hAnsi="Cambria Math"/>
                  <w:sz w:val="18"/>
                  <w:szCs w:val="20"/>
                </w:rPr>
                <m:t>b</m:t>
              </m:r>
            </m:e>
            <m:sup>
              <m:r>
                <w:rPr>
                  <w:rFonts w:ascii="Cambria Math" w:hAnsi="Cambria Math"/>
                  <w:sz w:val="18"/>
                  <w:szCs w:val="20"/>
                </w:rPr>
                <m:t>Weather</m:t>
              </m:r>
            </m:sup>
          </m:sSup>
          <m:r>
            <w:rPr>
              <w:rFonts w:ascii="Cambria Math" w:hAnsi="Cambria Math"/>
              <w:sz w:val="18"/>
              <w:szCs w:val="20"/>
            </w:rPr>
            <m:t>×</m:t>
          </m:r>
          <m:sSub>
            <m:sSubPr>
              <m:ctrlPr>
                <w:rPr>
                  <w:rFonts w:ascii="Cambria Math" w:hAnsi="Cambria Math"/>
                  <w:i/>
                  <w:sz w:val="18"/>
                  <w:szCs w:val="20"/>
                </w:rPr>
              </m:ctrlPr>
            </m:sSubPr>
            <m:e>
              <m:r>
                <w:rPr>
                  <w:rFonts w:ascii="Cambria Math" w:hAnsi="Cambria Math"/>
                  <w:sz w:val="18"/>
                  <w:szCs w:val="20"/>
                </w:rPr>
                <m:t>Weather</m:t>
              </m:r>
            </m:e>
            <m:sub>
              <m:r>
                <w:rPr>
                  <w:rFonts w:ascii="Cambria Math" w:hAnsi="Cambria Math"/>
                  <w:sz w:val="18"/>
                  <w:szCs w:val="20"/>
                </w:rPr>
                <m:t>t</m:t>
              </m:r>
            </m:sub>
          </m:sSub>
          <m:r>
            <w:rPr>
              <w:rFonts w:ascii="Cambria Math" w:hAnsi="Cambria Math"/>
              <w:sz w:val="18"/>
              <w:szCs w:val="20"/>
            </w:rPr>
            <m:t>+</m:t>
          </m:r>
          <m:nary>
            <m:naryPr>
              <m:chr m:val="∑"/>
              <m:limLoc m:val="undOvr"/>
              <m:ctrlPr>
                <w:rPr>
                  <w:rFonts w:ascii="Cambria Math" w:hAnsi="Cambria Math"/>
                  <w:i/>
                  <w:sz w:val="18"/>
                  <w:szCs w:val="20"/>
                </w:rPr>
              </m:ctrlPr>
            </m:naryPr>
            <m:sub>
              <m:r>
                <w:rPr>
                  <w:rFonts w:ascii="Cambria Math" w:hAnsi="Cambria Math"/>
                  <w:sz w:val="18"/>
                  <w:szCs w:val="20"/>
                </w:rPr>
                <m:t>i=2</m:t>
              </m:r>
            </m:sub>
            <m:sup>
              <m:r>
                <w:rPr>
                  <w:rFonts w:ascii="Cambria Math" w:hAnsi="Cambria Math"/>
                  <w:sz w:val="18"/>
                  <w:szCs w:val="20"/>
                </w:rPr>
                <m:t>5</m:t>
              </m:r>
            </m:sup>
            <m:e>
              <m:d>
                <m:dPr>
                  <m:ctrlPr>
                    <w:rPr>
                      <w:rFonts w:ascii="Cambria Math" w:hAnsi="Cambria Math"/>
                      <w:i/>
                      <w:sz w:val="18"/>
                      <w:szCs w:val="20"/>
                    </w:rPr>
                  </m:ctrlPr>
                </m:dPr>
                <m:e>
                  <m:sSubSup>
                    <m:sSubSupPr>
                      <m:ctrlPr>
                        <w:rPr>
                          <w:rFonts w:ascii="Cambria Math" w:hAnsi="Cambria Math"/>
                          <w:i/>
                          <w:sz w:val="18"/>
                          <w:szCs w:val="20"/>
                        </w:rPr>
                      </m:ctrlPr>
                    </m:sSubSupPr>
                    <m:e>
                      <m:r>
                        <w:rPr>
                          <w:rFonts w:ascii="Cambria Math" w:hAnsi="Cambria Math"/>
                          <w:sz w:val="18"/>
                          <w:szCs w:val="20"/>
                        </w:rPr>
                        <m:t>b</m:t>
                      </m:r>
                    </m:e>
                    <m:sub>
                      <m:r>
                        <w:rPr>
                          <w:rFonts w:ascii="Cambria Math" w:hAnsi="Cambria Math"/>
                          <w:sz w:val="18"/>
                          <w:szCs w:val="20"/>
                        </w:rPr>
                        <m:t>i</m:t>
                      </m:r>
                    </m:sub>
                    <m:sup>
                      <m:r>
                        <w:rPr>
                          <w:rFonts w:ascii="Cambria Math" w:hAnsi="Cambria Math"/>
                          <w:sz w:val="18"/>
                          <w:szCs w:val="20"/>
                        </w:rPr>
                        <m:t>DTYPE</m:t>
                      </m:r>
                    </m:sup>
                  </m:sSubSup>
                  <m:r>
                    <w:rPr>
                      <w:rFonts w:ascii="Cambria Math" w:hAnsi="Cambria Math"/>
                      <w:sz w:val="18"/>
                      <w:szCs w:val="20"/>
                    </w:rPr>
                    <m:t>×</m:t>
                  </m:r>
                  <m:sSub>
                    <m:sSubPr>
                      <m:ctrlPr>
                        <w:rPr>
                          <w:rFonts w:ascii="Cambria Math" w:hAnsi="Cambria Math"/>
                          <w:i/>
                          <w:sz w:val="18"/>
                          <w:szCs w:val="20"/>
                        </w:rPr>
                      </m:ctrlPr>
                    </m:sSubPr>
                    <m:e>
                      <m:r>
                        <w:rPr>
                          <w:rFonts w:ascii="Cambria Math" w:hAnsi="Cambria Math"/>
                          <w:sz w:val="18"/>
                          <w:szCs w:val="20"/>
                        </w:rPr>
                        <m:t>DTYPE</m:t>
                      </m:r>
                    </m:e>
                    <m:sub>
                      <m:r>
                        <w:rPr>
                          <w:rFonts w:ascii="Cambria Math" w:hAnsi="Cambria Math"/>
                          <w:sz w:val="18"/>
                          <w:szCs w:val="20"/>
                        </w:rPr>
                        <m:t>i,t</m:t>
                      </m:r>
                    </m:sub>
                  </m:sSub>
                </m:e>
              </m:d>
            </m:e>
          </m:nary>
          <m:r>
            <w:rPr>
              <w:rFonts w:ascii="Cambria Math" w:hAnsi="Cambria Math"/>
              <w:sz w:val="18"/>
              <w:szCs w:val="20"/>
            </w:rPr>
            <m:t>+</m:t>
          </m:r>
          <m:nary>
            <m:naryPr>
              <m:chr m:val="∑"/>
              <m:limLoc m:val="undOvr"/>
              <m:ctrlPr>
                <w:rPr>
                  <w:rFonts w:ascii="Cambria Math" w:hAnsi="Cambria Math"/>
                  <w:i/>
                  <w:sz w:val="18"/>
                  <w:szCs w:val="20"/>
                </w:rPr>
              </m:ctrlPr>
            </m:naryPr>
            <m:sub>
              <m:r>
                <w:rPr>
                  <w:rFonts w:ascii="Cambria Math" w:hAnsi="Cambria Math"/>
                  <w:sz w:val="18"/>
                  <w:szCs w:val="20"/>
                </w:rPr>
                <m:t>i=7</m:t>
              </m:r>
            </m:sub>
            <m:sup>
              <m:r>
                <w:rPr>
                  <w:rFonts w:ascii="Cambria Math" w:hAnsi="Cambria Math"/>
                  <w:sz w:val="18"/>
                  <w:szCs w:val="20"/>
                </w:rPr>
                <m:t>9</m:t>
              </m:r>
            </m:sup>
            <m:e>
              <m:d>
                <m:dPr>
                  <m:ctrlPr>
                    <w:rPr>
                      <w:rFonts w:ascii="Cambria Math" w:hAnsi="Cambria Math"/>
                      <w:i/>
                      <w:sz w:val="18"/>
                      <w:szCs w:val="20"/>
                    </w:rPr>
                  </m:ctrlPr>
                </m:dPr>
                <m:e>
                  <m:sSubSup>
                    <m:sSubSupPr>
                      <m:ctrlPr>
                        <w:rPr>
                          <w:rFonts w:ascii="Cambria Math" w:hAnsi="Cambria Math"/>
                          <w:i/>
                          <w:sz w:val="18"/>
                          <w:szCs w:val="20"/>
                        </w:rPr>
                      </m:ctrlPr>
                    </m:sSubSupPr>
                    <m:e>
                      <m:r>
                        <w:rPr>
                          <w:rFonts w:ascii="Cambria Math" w:hAnsi="Cambria Math"/>
                          <w:sz w:val="18"/>
                          <w:szCs w:val="20"/>
                        </w:rPr>
                        <m:t>b</m:t>
                      </m:r>
                    </m:e>
                    <m:sub>
                      <m:r>
                        <w:rPr>
                          <w:rFonts w:ascii="Cambria Math" w:hAnsi="Cambria Math"/>
                          <w:sz w:val="18"/>
                          <w:szCs w:val="20"/>
                        </w:rPr>
                        <m:t>i</m:t>
                      </m:r>
                    </m:sub>
                    <m:sup>
                      <m:r>
                        <w:rPr>
                          <w:rFonts w:ascii="Cambria Math" w:hAnsi="Cambria Math"/>
                          <w:sz w:val="18"/>
                          <w:szCs w:val="20"/>
                        </w:rPr>
                        <m:t>MONTH</m:t>
                      </m:r>
                    </m:sup>
                  </m:sSubSup>
                  <m:r>
                    <w:rPr>
                      <w:rFonts w:ascii="Cambria Math" w:hAnsi="Cambria Math"/>
                      <w:sz w:val="18"/>
                      <w:szCs w:val="20"/>
                    </w:rPr>
                    <m:t>×</m:t>
                  </m:r>
                  <m:sSub>
                    <m:sSubPr>
                      <m:ctrlPr>
                        <w:rPr>
                          <w:rFonts w:ascii="Cambria Math" w:hAnsi="Cambria Math"/>
                          <w:i/>
                          <w:sz w:val="18"/>
                          <w:szCs w:val="20"/>
                        </w:rPr>
                      </m:ctrlPr>
                    </m:sSubPr>
                    <m:e>
                      <m:r>
                        <w:rPr>
                          <w:rFonts w:ascii="Cambria Math" w:hAnsi="Cambria Math"/>
                          <w:sz w:val="18"/>
                          <w:szCs w:val="20"/>
                        </w:rPr>
                        <m:t>MONTH</m:t>
                      </m:r>
                    </m:e>
                    <m:sub>
                      <m:r>
                        <w:rPr>
                          <w:rFonts w:ascii="Cambria Math" w:hAnsi="Cambria Math"/>
                          <w:sz w:val="18"/>
                          <w:szCs w:val="20"/>
                        </w:rPr>
                        <m:t>i,t</m:t>
                      </m:r>
                    </m:sub>
                  </m:sSub>
                </m:e>
              </m:d>
            </m:e>
          </m:nary>
          <m:r>
            <w:rPr>
              <w:rFonts w:ascii="Cambria Math" w:hAnsi="Cambria Math"/>
              <w:sz w:val="18"/>
              <w:szCs w:val="20"/>
            </w:rPr>
            <m:t>+</m:t>
          </m:r>
          <m:nary>
            <m:naryPr>
              <m:chr m:val="∑"/>
              <m:limLoc m:val="undOvr"/>
              <m:ctrlPr>
                <w:rPr>
                  <w:rFonts w:ascii="Cambria Math" w:hAnsi="Cambria Math"/>
                  <w:i/>
                  <w:sz w:val="18"/>
                  <w:szCs w:val="20"/>
                </w:rPr>
              </m:ctrlPr>
            </m:naryPr>
            <m:sub>
              <m:r>
                <w:rPr>
                  <w:rFonts w:ascii="Cambria Math" w:hAnsi="Cambria Math"/>
                  <w:sz w:val="18"/>
                  <w:szCs w:val="20"/>
                </w:rPr>
                <m:t>i=1</m:t>
              </m:r>
            </m:sub>
            <m:sup>
              <m:r>
                <w:rPr>
                  <w:rFonts w:ascii="Cambria Math" w:hAnsi="Cambria Math"/>
                  <w:sz w:val="18"/>
                  <w:szCs w:val="20"/>
                </w:rPr>
                <m:t>EVT</m:t>
              </m:r>
            </m:sup>
            <m:e>
              <m:d>
                <m:dPr>
                  <m:ctrlPr>
                    <w:rPr>
                      <w:rFonts w:ascii="Cambria Math" w:hAnsi="Cambria Math"/>
                      <w:i/>
                      <w:sz w:val="18"/>
                      <w:szCs w:val="20"/>
                    </w:rPr>
                  </m:ctrlPr>
                </m:dPr>
                <m:e>
                  <m:sSubSup>
                    <m:sSubSupPr>
                      <m:ctrlPr>
                        <w:rPr>
                          <w:rFonts w:ascii="Cambria Math" w:hAnsi="Cambria Math"/>
                          <w:i/>
                          <w:sz w:val="18"/>
                          <w:szCs w:val="20"/>
                        </w:rPr>
                      </m:ctrlPr>
                    </m:sSubSupPr>
                    <m:e>
                      <m:r>
                        <w:rPr>
                          <w:rFonts w:ascii="Cambria Math" w:hAnsi="Cambria Math"/>
                          <w:sz w:val="18"/>
                          <w:szCs w:val="20"/>
                        </w:rPr>
                        <m:t>b</m:t>
                      </m:r>
                    </m:e>
                    <m:sub>
                      <m:r>
                        <w:rPr>
                          <w:rFonts w:ascii="Cambria Math" w:hAnsi="Cambria Math"/>
                          <w:sz w:val="18"/>
                          <w:szCs w:val="20"/>
                        </w:rPr>
                        <m:t>i</m:t>
                      </m:r>
                    </m:sub>
                    <m:sup>
                      <m:r>
                        <w:rPr>
                          <w:rFonts w:ascii="Cambria Math" w:hAnsi="Cambria Math"/>
                          <w:sz w:val="18"/>
                          <w:szCs w:val="20"/>
                        </w:rPr>
                        <m:t>EVT</m:t>
                      </m:r>
                    </m:sup>
                  </m:sSubSup>
                  <m:r>
                    <w:rPr>
                      <w:rFonts w:ascii="Cambria Math" w:hAnsi="Cambria Math"/>
                      <w:sz w:val="18"/>
                      <w:szCs w:val="20"/>
                    </w:rPr>
                    <m:t>×</m:t>
                  </m:r>
                  <m:sSub>
                    <m:sSubPr>
                      <m:ctrlPr>
                        <w:rPr>
                          <w:rFonts w:ascii="Cambria Math" w:hAnsi="Cambria Math"/>
                          <w:i/>
                          <w:sz w:val="18"/>
                          <w:szCs w:val="20"/>
                        </w:rPr>
                      </m:ctrlPr>
                    </m:sSubPr>
                    <m:e>
                      <m:r>
                        <w:rPr>
                          <w:rFonts w:ascii="Cambria Math" w:hAnsi="Cambria Math"/>
                          <w:sz w:val="18"/>
                          <w:szCs w:val="20"/>
                        </w:rPr>
                        <m:t>EVT</m:t>
                      </m:r>
                    </m:e>
                    <m:sub>
                      <m:r>
                        <w:rPr>
                          <w:rFonts w:ascii="Cambria Math" w:hAnsi="Cambria Math"/>
                          <w:sz w:val="18"/>
                          <w:szCs w:val="20"/>
                        </w:rPr>
                        <m:t>i,t</m:t>
                      </m:r>
                    </m:sub>
                  </m:sSub>
                </m:e>
              </m:d>
            </m:e>
          </m:nary>
          <m:r>
            <w:rPr>
              <w:rFonts w:ascii="Cambria Math" w:hAnsi="Cambria Math"/>
              <w:sz w:val="18"/>
              <w:szCs w:val="20"/>
            </w:rPr>
            <m:t>+</m:t>
          </m:r>
          <m:sSub>
            <m:sSubPr>
              <m:ctrlPr>
                <w:rPr>
                  <w:rFonts w:ascii="Cambria Math" w:hAnsi="Cambria Math"/>
                  <w:i/>
                  <w:sz w:val="18"/>
                  <w:szCs w:val="20"/>
                </w:rPr>
              </m:ctrlPr>
            </m:sSubPr>
            <m:e>
              <m:r>
                <w:rPr>
                  <w:rFonts w:ascii="Cambria Math" w:hAnsi="Cambria Math"/>
                  <w:sz w:val="18"/>
                  <w:szCs w:val="20"/>
                </w:rPr>
                <m:t>e</m:t>
              </m:r>
            </m:e>
            <m:sub>
              <m:r>
                <w:rPr>
                  <w:rFonts w:ascii="Cambria Math" w:hAnsi="Cambria Math"/>
                  <w:sz w:val="18"/>
                  <w:szCs w:val="20"/>
                </w:rPr>
                <m:t>t</m:t>
              </m:r>
            </m:sub>
          </m:sSub>
        </m:oMath>
      </m:oMathPara>
    </w:p>
    <w:p w14:paraId="4B4B1CA4" w14:textId="4B257401" w:rsidR="00DF5AFB" w:rsidRPr="00BB5846" w:rsidRDefault="00DF5AFB" w:rsidP="00CA23E4">
      <w:pPr>
        <w:pStyle w:val="FootnoteText"/>
        <w:rPr>
          <w:rFonts w:asciiTheme="minorHAnsi" w:hAnsiTheme="minorHAnsi" w:cstheme="minorHAnsi"/>
        </w:rPr>
      </w:pPr>
      <w:r w:rsidRPr="00BB5846">
        <w:rPr>
          <w:rFonts w:asciiTheme="minorHAnsi" w:hAnsiTheme="minorHAnsi" w:cstheme="minorHAnsi"/>
        </w:rPr>
        <w:t xml:space="preserve">, where </w:t>
      </w:r>
      <w:proofErr w:type="spellStart"/>
      <w:r w:rsidRPr="00BB5846">
        <w:rPr>
          <w:rFonts w:asciiTheme="minorHAnsi" w:hAnsiTheme="minorHAnsi" w:cstheme="minorHAnsi"/>
          <w:i/>
        </w:rPr>
        <w:t>Q</w:t>
      </w:r>
      <w:r w:rsidRPr="00BB5846">
        <w:rPr>
          <w:rFonts w:asciiTheme="minorHAnsi" w:hAnsiTheme="minorHAnsi" w:cstheme="minorHAnsi"/>
          <w:i/>
          <w:vertAlign w:val="subscript"/>
        </w:rPr>
        <w:t>t</w:t>
      </w:r>
      <w:proofErr w:type="spellEnd"/>
      <w:r w:rsidRPr="00BB5846">
        <w:rPr>
          <w:rFonts w:asciiTheme="minorHAnsi" w:hAnsiTheme="minorHAnsi" w:cstheme="minorHAnsi"/>
        </w:rPr>
        <w:t xml:space="preserve"> represents the average customer usage during event hours on day </w:t>
      </w:r>
      <w:r w:rsidRPr="00BB5846">
        <w:rPr>
          <w:rFonts w:asciiTheme="minorHAnsi" w:hAnsiTheme="minorHAnsi" w:cstheme="minorHAnsi"/>
          <w:i/>
        </w:rPr>
        <w:t>t</w:t>
      </w:r>
      <w:r w:rsidRPr="00BB5846">
        <w:rPr>
          <w:rFonts w:asciiTheme="minorHAnsi" w:hAnsiTheme="minorHAnsi" w:cstheme="minorHAnsi"/>
        </w:rPr>
        <w:t xml:space="preserve"> in the summer months of June through September. </w:t>
      </w:r>
      <w:proofErr w:type="spellStart"/>
      <w:proofErr w:type="gramStart"/>
      <w:r w:rsidRPr="00BB5846">
        <w:rPr>
          <w:rFonts w:asciiTheme="minorHAnsi" w:hAnsiTheme="minorHAnsi" w:cstheme="minorHAnsi"/>
          <w:i/>
        </w:rPr>
        <w:t>DTYPE</w:t>
      </w:r>
      <w:r w:rsidRPr="00BB5846">
        <w:rPr>
          <w:rFonts w:asciiTheme="minorHAnsi" w:hAnsiTheme="minorHAnsi" w:cstheme="minorHAnsi"/>
          <w:i/>
          <w:vertAlign w:val="subscript"/>
        </w:rPr>
        <w:t>i,t</w:t>
      </w:r>
      <w:proofErr w:type="spellEnd"/>
      <w:proofErr w:type="gramEnd"/>
      <w:r w:rsidRPr="00BB5846">
        <w:rPr>
          <w:rFonts w:asciiTheme="minorHAnsi" w:hAnsiTheme="minorHAnsi" w:cstheme="minorHAnsi"/>
        </w:rPr>
        <w:t xml:space="preserve"> represents the day of week, while </w:t>
      </w:r>
      <w:proofErr w:type="spellStart"/>
      <w:r w:rsidRPr="00BB5846">
        <w:rPr>
          <w:rFonts w:asciiTheme="minorHAnsi" w:hAnsiTheme="minorHAnsi" w:cstheme="minorHAnsi"/>
          <w:i/>
        </w:rPr>
        <w:t>MONTH</w:t>
      </w:r>
      <w:r w:rsidRPr="00BB5846">
        <w:rPr>
          <w:rFonts w:asciiTheme="minorHAnsi" w:hAnsiTheme="minorHAnsi" w:cstheme="minorHAnsi"/>
          <w:i/>
          <w:vertAlign w:val="subscript"/>
        </w:rPr>
        <w:t>i,t</w:t>
      </w:r>
      <w:proofErr w:type="spellEnd"/>
      <w:r w:rsidRPr="00BB5846">
        <w:rPr>
          <w:rFonts w:asciiTheme="minorHAnsi" w:hAnsiTheme="minorHAnsi" w:cstheme="minorHAnsi"/>
        </w:rPr>
        <w:t xml:space="preserve"> represents each month. The </w:t>
      </w:r>
      <w:proofErr w:type="spellStart"/>
      <w:proofErr w:type="gramStart"/>
      <w:r w:rsidRPr="00BB5846">
        <w:rPr>
          <w:rFonts w:asciiTheme="minorHAnsi" w:hAnsiTheme="minorHAnsi" w:cstheme="minorHAnsi"/>
          <w:i/>
        </w:rPr>
        <w:t>EVT</w:t>
      </w:r>
      <w:r w:rsidRPr="00BB5846">
        <w:rPr>
          <w:rFonts w:asciiTheme="minorHAnsi" w:hAnsiTheme="minorHAnsi" w:cstheme="minorHAnsi"/>
          <w:i/>
          <w:vertAlign w:val="subscript"/>
        </w:rPr>
        <w:t>i,t</w:t>
      </w:r>
      <w:proofErr w:type="spellEnd"/>
      <w:proofErr w:type="gramEnd"/>
      <w:r w:rsidRPr="00BB5846">
        <w:rPr>
          <w:rFonts w:asciiTheme="minorHAnsi" w:hAnsiTheme="minorHAnsi" w:cstheme="minorHAnsi"/>
        </w:rPr>
        <w:t xml:space="preserve"> variables control for any event days a customer faces (DBP, BIP, CPP, etc.). The variable of importance is </w:t>
      </w:r>
      <w:proofErr w:type="spellStart"/>
      <w:r w:rsidRPr="00BB5846">
        <w:rPr>
          <w:rFonts w:asciiTheme="minorHAnsi" w:hAnsiTheme="minorHAnsi" w:cstheme="minorHAnsi"/>
          <w:i/>
        </w:rPr>
        <w:t>Weather</w:t>
      </w:r>
      <w:r w:rsidRPr="00BB5846">
        <w:rPr>
          <w:rFonts w:asciiTheme="minorHAnsi" w:hAnsiTheme="minorHAnsi" w:cstheme="minorHAnsi"/>
          <w:i/>
          <w:vertAlign w:val="subscript"/>
        </w:rPr>
        <w:t>t</w:t>
      </w:r>
      <w:proofErr w:type="spellEnd"/>
      <w:r w:rsidRPr="00BB5846">
        <w:rPr>
          <w:rFonts w:asciiTheme="minorHAnsi" w:hAnsiTheme="minorHAnsi" w:cstheme="minorHAnsi"/>
        </w:rPr>
        <w:t>, which is defined as CDD55, CDD60, or CDD65, each as a separate regression. The regression is estimated for each customer and weather specification. A customer is identified as weather sensitive if the weather coefficient (</w:t>
      </w:r>
      <w:proofErr w:type="spellStart"/>
      <w:r w:rsidRPr="00BB5846">
        <w:rPr>
          <w:rFonts w:asciiTheme="minorHAnsi" w:hAnsiTheme="minorHAnsi" w:cstheme="minorHAnsi"/>
          <w:i/>
        </w:rPr>
        <w:t>b</w:t>
      </w:r>
      <w:r w:rsidRPr="00BB5846">
        <w:rPr>
          <w:rFonts w:asciiTheme="minorHAnsi" w:hAnsiTheme="minorHAnsi" w:cstheme="minorHAnsi"/>
          <w:i/>
          <w:vertAlign w:val="superscript"/>
        </w:rPr>
        <w:t>Weather</w:t>
      </w:r>
      <w:proofErr w:type="spellEnd"/>
      <w:r w:rsidRPr="00BB5846">
        <w:rPr>
          <w:rFonts w:asciiTheme="minorHAnsi" w:hAnsiTheme="minorHAnsi" w:cstheme="minorHAnsi"/>
        </w:rPr>
        <w:t>) is positive and statistically significant for any of the three separate weather specifications</w:t>
      </w:r>
      <w:r>
        <w:rPr>
          <w:rFonts w:asciiTheme="minorHAnsi" w:hAnsiTheme="minorHAnsi" w:cstheme="minorHAnsi"/>
        </w:rPr>
        <w:t>.</w:t>
      </w:r>
    </w:p>
  </w:footnote>
  <w:footnote w:id="19">
    <w:p w14:paraId="13E494E9" w14:textId="6C735240" w:rsidR="00DF5AFB" w:rsidRPr="00667B8C" w:rsidRDefault="00DF5AFB" w:rsidP="00C06AE3">
      <w:pPr>
        <w:pStyle w:val="FootnoteText"/>
        <w:rPr>
          <w:rFonts w:asciiTheme="minorHAnsi" w:hAnsiTheme="minorHAnsi" w:cstheme="minorHAnsi"/>
        </w:rPr>
      </w:pPr>
      <w:r w:rsidRPr="00667B8C">
        <w:rPr>
          <w:rStyle w:val="FootnoteReference"/>
          <w:rFonts w:asciiTheme="minorHAnsi" w:hAnsiTheme="minorHAnsi" w:cstheme="minorHAnsi"/>
        </w:rPr>
        <w:footnoteRef/>
      </w:r>
      <w:r w:rsidRPr="00667B8C">
        <w:rPr>
          <w:rFonts w:asciiTheme="minorHAnsi" w:hAnsiTheme="minorHAnsi" w:cstheme="minorHAnsi"/>
        </w:rPr>
        <w:t xml:space="preserve"> </w:t>
      </w:r>
      <w:r>
        <w:rPr>
          <w:rFonts w:asciiTheme="minorHAnsi" w:hAnsiTheme="minorHAnsi" w:cstheme="minorHAnsi"/>
        </w:rPr>
        <w:t xml:space="preserve">Mean17 is the average temperature in degrees Fahrenheit during the first 17 hours of the day. </w:t>
      </w:r>
      <w:r w:rsidRPr="00667B8C">
        <w:rPr>
          <w:rFonts w:asciiTheme="minorHAnsi" w:hAnsiTheme="minorHAnsi" w:cstheme="minorHAnsi"/>
        </w:rPr>
        <w:t xml:space="preserve">Cooling degree hours (CDH) for each hour </w:t>
      </w:r>
      <w:r>
        <w:rPr>
          <w:rFonts w:asciiTheme="minorHAnsi" w:hAnsiTheme="minorHAnsi" w:cstheme="minorHAnsi"/>
        </w:rPr>
        <w:t xml:space="preserve">of the day are defined as: CDH60 = </w:t>
      </w:r>
      <w:proofErr w:type="gramStart"/>
      <w:r>
        <w:rPr>
          <w:rFonts w:asciiTheme="minorHAnsi" w:hAnsiTheme="minorHAnsi" w:cstheme="minorHAnsi"/>
        </w:rPr>
        <w:t>max(</w:t>
      </w:r>
      <w:proofErr w:type="gramEnd"/>
      <w:r>
        <w:rPr>
          <w:rFonts w:asciiTheme="minorHAnsi" w:hAnsiTheme="minorHAnsi" w:cstheme="minorHAnsi"/>
        </w:rPr>
        <w:t>0,Temperature in °F – 60</w:t>
      </w:r>
      <w:r w:rsidRPr="00667B8C">
        <w:rPr>
          <w:rFonts w:asciiTheme="minorHAnsi" w:hAnsiTheme="minorHAnsi" w:cstheme="minorHAnsi"/>
        </w:rPr>
        <w:t xml:space="preserve">). Likewise, heating degree hours (HDH) for each hour of the day </w:t>
      </w:r>
      <w:r>
        <w:rPr>
          <w:rFonts w:asciiTheme="minorHAnsi" w:hAnsiTheme="minorHAnsi" w:cstheme="minorHAnsi"/>
        </w:rPr>
        <w:t>are defined as: HDH60 =</w:t>
      </w:r>
      <w:proofErr w:type="gramStart"/>
      <w:r>
        <w:rPr>
          <w:rFonts w:asciiTheme="minorHAnsi" w:hAnsiTheme="minorHAnsi" w:cstheme="minorHAnsi"/>
        </w:rPr>
        <w:t>max(</w:t>
      </w:r>
      <w:proofErr w:type="gramEnd"/>
      <w:r>
        <w:rPr>
          <w:rFonts w:asciiTheme="minorHAnsi" w:hAnsiTheme="minorHAnsi" w:cstheme="minorHAnsi"/>
        </w:rPr>
        <w:t>0, 60</w:t>
      </w:r>
      <w:r w:rsidRPr="00667B8C">
        <w:rPr>
          <w:rFonts w:asciiTheme="minorHAnsi" w:hAnsiTheme="minorHAnsi" w:cstheme="minorHAnsi"/>
        </w:rPr>
        <w:t xml:space="preserve"> – Temperature in °F).</w:t>
      </w:r>
    </w:p>
  </w:footnote>
  <w:footnote w:id="20">
    <w:p w14:paraId="4A88EB31" w14:textId="79B4867E" w:rsidR="00DF5AFB" w:rsidRPr="00976434" w:rsidRDefault="00DF5AFB">
      <w:pPr>
        <w:pStyle w:val="FootnoteText"/>
        <w:rPr>
          <w:rFonts w:asciiTheme="minorHAnsi" w:hAnsiTheme="minorHAnsi" w:cstheme="minorHAnsi"/>
        </w:rPr>
      </w:pPr>
      <w:r w:rsidRPr="00976434">
        <w:rPr>
          <w:rStyle w:val="FootnoteReference"/>
          <w:rFonts w:asciiTheme="minorHAnsi" w:hAnsiTheme="minorHAnsi" w:cstheme="minorHAnsi"/>
        </w:rPr>
        <w:footnoteRef/>
      </w:r>
      <w:r w:rsidRPr="00976434">
        <w:rPr>
          <w:rFonts w:asciiTheme="minorHAnsi" w:hAnsiTheme="minorHAnsi" w:cstheme="minorHAnsi"/>
        </w:rPr>
        <w:t xml:space="preserve"> The adjustment takes the form of Reference = Observed / (1 - %</w:t>
      </w:r>
      <w:proofErr w:type="spellStart"/>
      <w:r w:rsidRPr="00976434">
        <w:rPr>
          <w:rFonts w:asciiTheme="minorHAnsi" w:hAnsiTheme="minorHAnsi" w:cstheme="minorHAnsi"/>
        </w:rPr>
        <w:t>TOULoadImpact</w:t>
      </w:r>
      <w:proofErr w:type="spellEnd"/>
      <w:r w:rsidRPr="00976434">
        <w:rPr>
          <w:rFonts w:asciiTheme="minorHAnsi" w:hAnsiTheme="minorHAnsi" w:cstheme="minorHAnsi"/>
        </w:rPr>
        <w:t xml:space="preserve">). We examined several alternative approaches to developing the weather-sensitive reference load, including the same type of regression analysis using load data for the matched control group customers. The resulting reference loads were not very sensitive to the data and approach used, although the selected approach produced more accurate loads during the swing months. </w:t>
      </w:r>
    </w:p>
  </w:footnote>
  <w:footnote w:id="21">
    <w:p w14:paraId="07FA8732" w14:textId="6D33EF8B" w:rsidR="00DF5AFB" w:rsidRPr="00526A24" w:rsidRDefault="00DF5AFB">
      <w:pPr>
        <w:pStyle w:val="FootnoteText"/>
        <w:rPr>
          <w:rFonts w:asciiTheme="minorHAnsi" w:hAnsiTheme="minorHAnsi" w:cstheme="minorHAnsi"/>
        </w:rPr>
      </w:pPr>
      <w:r w:rsidRPr="00182142">
        <w:rPr>
          <w:rStyle w:val="FootnoteReference"/>
          <w:rFonts w:asciiTheme="minorHAnsi" w:hAnsiTheme="minorHAnsi" w:cstheme="minorHAnsi"/>
        </w:rPr>
        <w:footnoteRef/>
      </w:r>
      <w:r w:rsidRPr="00182142">
        <w:rPr>
          <w:rFonts w:asciiTheme="minorHAnsi" w:hAnsiTheme="minorHAnsi" w:cstheme="minorHAnsi"/>
        </w:rPr>
        <w:t xml:space="preserve"> The relatively minor differences are due in part to the assumed constant percentage load impact that was applied from the </w:t>
      </w:r>
      <w:r>
        <w:rPr>
          <w:rFonts w:asciiTheme="minorHAnsi" w:hAnsiTheme="minorHAnsi" w:cstheme="minorHAnsi"/>
        </w:rPr>
        <w:t>average weekday events</w:t>
      </w:r>
      <w:r w:rsidRPr="00182142">
        <w:rPr>
          <w:rFonts w:asciiTheme="minorHAnsi" w:hAnsiTheme="minorHAnsi" w:cstheme="minorHAnsi"/>
        </w:rPr>
        <w:t>. As experience is gained from additional events, the load impacts will likely be found to be weather sensitive.</w:t>
      </w:r>
    </w:p>
  </w:footnote>
  <w:footnote w:id="22">
    <w:p w14:paraId="6E514AB7" w14:textId="0E331128" w:rsidR="00DF5AFB" w:rsidRDefault="00DF5AFB">
      <w:pPr>
        <w:pStyle w:val="FootnoteText"/>
      </w:pPr>
      <w:r>
        <w:rPr>
          <w:rStyle w:val="FootnoteReference"/>
        </w:rPr>
        <w:footnoteRef/>
      </w:r>
      <w:r>
        <w:t xml:space="preserve"> A summary of load impacts over the peak periods would indicate equivalent percentage load impacts by design.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9A6D2D" w14:textId="77777777" w:rsidR="00DF5AFB" w:rsidRDefault="00DF5AFB">
    <w:pPr>
      <w:pStyle w:val="Header"/>
    </w:pPr>
    <w:r>
      <w:rPr>
        <w:noProof/>
      </w:rPr>
      <w:drawing>
        <wp:inline distT="0" distB="0" distL="0" distR="0" wp14:anchorId="6265FF2B" wp14:editId="7DFAFF04">
          <wp:extent cx="3267075" cy="1009650"/>
          <wp:effectExtent l="0" t="0" r="9525" b="0"/>
          <wp:docPr id="1" name="Picture 10" descr="CA Energy Consult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A Energy Consulting"/>
                  <pic:cNvPicPr>
                    <a:picLocks noChangeAspect="1" noChangeArrowheads="1"/>
                  </pic:cNvPicPr>
                </pic:nvPicPr>
                <pic:blipFill>
                  <a:blip r:embed="rId1">
                    <a:extLst>
                      <a:ext uri="{28A0092B-C50C-407E-A947-70E740481C1C}">
                        <a14:useLocalDpi xmlns:a14="http://schemas.microsoft.com/office/drawing/2010/main" val="0"/>
                      </a:ext>
                    </a:extLst>
                  </a:blip>
                  <a:srcRect l="12318"/>
                  <a:stretch>
                    <a:fillRect/>
                  </a:stretch>
                </pic:blipFill>
                <pic:spPr bwMode="auto">
                  <a:xfrm>
                    <a:off x="0" y="0"/>
                    <a:ext cx="3267075" cy="100965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5084B6" w14:textId="77777777" w:rsidR="00DF5AFB" w:rsidRDefault="00DF5AF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1C1335"/>
    <w:multiLevelType w:val="hybridMultilevel"/>
    <w:tmpl w:val="FD1834BE"/>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4154202"/>
    <w:multiLevelType w:val="hybridMultilevel"/>
    <w:tmpl w:val="085E450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73676"/>
    <w:multiLevelType w:val="hybridMultilevel"/>
    <w:tmpl w:val="F1C81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2253B0"/>
    <w:multiLevelType w:val="hybridMultilevel"/>
    <w:tmpl w:val="A54E2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C868DA"/>
    <w:multiLevelType w:val="hybridMultilevel"/>
    <w:tmpl w:val="856AA9F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0E934BEB"/>
    <w:multiLevelType w:val="hybridMultilevel"/>
    <w:tmpl w:val="5B124B2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1260E08"/>
    <w:multiLevelType w:val="hybridMultilevel"/>
    <w:tmpl w:val="0C7EA56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11B50B68"/>
    <w:multiLevelType w:val="hybridMultilevel"/>
    <w:tmpl w:val="D85CB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2CD695A"/>
    <w:multiLevelType w:val="hybridMultilevel"/>
    <w:tmpl w:val="BB1E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3A00FA"/>
    <w:multiLevelType w:val="hybridMultilevel"/>
    <w:tmpl w:val="67B614A2"/>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F9830AC"/>
    <w:multiLevelType w:val="hybridMultilevel"/>
    <w:tmpl w:val="D85CB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E07ADC"/>
    <w:multiLevelType w:val="hybridMultilevel"/>
    <w:tmpl w:val="25D25D5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00523B1"/>
    <w:multiLevelType w:val="hybridMultilevel"/>
    <w:tmpl w:val="3BAC8910"/>
    <w:lvl w:ilvl="0" w:tplc="77800714">
      <w:start w:val="1"/>
      <w:numFmt w:val="decimal"/>
      <w:lvlText w:val="%1."/>
      <w:lvlJc w:val="left"/>
      <w:pPr>
        <w:ind w:left="360" w:hanging="360"/>
      </w:pPr>
      <w:rPr>
        <w:i/>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21E752C9"/>
    <w:multiLevelType w:val="hybridMultilevel"/>
    <w:tmpl w:val="7BCE21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3C1669E1"/>
    <w:multiLevelType w:val="hybridMultilevel"/>
    <w:tmpl w:val="3FFE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D576E7E"/>
    <w:multiLevelType w:val="hybridMultilevel"/>
    <w:tmpl w:val="60C62208"/>
    <w:lvl w:ilvl="0" w:tplc="F19CA708">
      <w:start w:val="1"/>
      <w:numFmt w:val="decimal"/>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471A7A8B"/>
    <w:multiLevelType w:val="hybridMultilevel"/>
    <w:tmpl w:val="BA0499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8B2B9E"/>
    <w:multiLevelType w:val="multilevel"/>
    <w:tmpl w:val="F5844DC8"/>
    <w:lvl w:ilvl="0">
      <w:start w:val="1"/>
      <w:numFmt w:val="decimal"/>
      <w:lvlText w:val="%1."/>
      <w:lvlJc w:val="left"/>
      <w:pPr>
        <w:tabs>
          <w:tab w:val="num" w:pos="720"/>
        </w:tabs>
        <w:ind w:left="720" w:hanging="360"/>
      </w:pPr>
    </w:lvl>
    <w:lvl w:ilvl="1">
      <w:start w:val="3"/>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529036A5"/>
    <w:multiLevelType w:val="hybridMultilevel"/>
    <w:tmpl w:val="2220AF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2C51BAF"/>
    <w:multiLevelType w:val="hybridMultilevel"/>
    <w:tmpl w:val="5FE06D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4CA09F6"/>
    <w:multiLevelType w:val="hybridMultilevel"/>
    <w:tmpl w:val="BD76D8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A3030CA"/>
    <w:multiLevelType w:val="hybridMultilevel"/>
    <w:tmpl w:val="04FA44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B563CB4"/>
    <w:multiLevelType w:val="hybridMultilevel"/>
    <w:tmpl w:val="09FC4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C991E06"/>
    <w:multiLevelType w:val="hybridMultilevel"/>
    <w:tmpl w:val="E4F8B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55A7E60"/>
    <w:multiLevelType w:val="hybridMultilevel"/>
    <w:tmpl w:val="0F1E4EC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8E60537"/>
    <w:multiLevelType w:val="hybridMultilevel"/>
    <w:tmpl w:val="653C40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F01073"/>
    <w:multiLevelType w:val="hybridMultilevel"/>
    <w:tmpl w:val="5B08DD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BF6119A"/>
    <w:multiLevelType w:val="hybridMultilevel"/>
    <w:tmpl w:val="3FFE5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0467CAB"/>
    <w:multiLevelType w:val="hybridMultilevel"/>
    <w:tmpl w:val="0B563F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3A14720"/>
    <w:multiLevelType w:val="hybridMultilevel"/>
    <w:tmpl w:val="A11E8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6E21CF0"/>
    <w:multiLevelType w:val="hybridMultilevel"/>
    <w:tmpl w:val="9B28C80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8355E45"/>
    <w:multiLevelType w:val="hybridMultilevel"/>
    <w:tmpl w:val="9F1437A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8687BE6"/>
    <w:multiLevelType w:val="hybridMultilevel"/>
    <w:tmpl w:val="01A68CE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7BD033DD"/>
    <w:multiLevelType w:val="hybridMultilevel"/>
    <w:tmpl w:val="D2AA5E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C5E6AA9"/>
    <w:multiLevelType w:val="hybridMultilevel"/>
    <w:tmpl w:val="34C84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EE14889"/>
    <w:multiLevelType w:val="hybridMultilevel"/>
    <w:tmpl w:val="75AE3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8"/>
  </w:num>
  <w:num w:numId="2">
    <w:abstractNumId w:val="5"/>
  </w:num>
  <w:num w:numId="3">
    <w:abstractNumId w:val="1"/>
  </w:num>
  <w:num w:numId="4">
    <w:abstractNumId w:val="31"/>
  </w:num>
  <w:num w:numId="5">
    <w:abstractNumId w:val="24"/>
  </w:num>
  <w:num w:numId="6">
    <w:abstractNumId w:val="0"/>
  </w:num>
  <w:num w:numId="7">
    <w:abstractNumId w:val="13"/>
  </w:num>
  <w:num w:numId="8">
    <w:abstractNumId w:val="4"/>
  </w:num>
  <w:num w:numId="9">
    <w:abstractNumId w:val="17"/>
  </w:num>
  <w:num w:numId="10">
    <w:abstractNumId w:val="21"/>
  </w:num>
  <w:num w:numId="11">
    <w:abstractNumId w:val="12"/>
  </w:num>
  <w:num w:numId="12">
    <w:abstractNumId w:val="16"/>
  </w:num>
  <w:num w:numId="13">
    <w:abstractNumId w:val="35"/>
  </w:num>
  <w:num w:numId="14">
    <w:abstractNumId w:val="11"/>
  </w:num>
  <w:num w:numId="15">
    <w:abstractNumId w:val="28"/>
  </w:num>
  <w:num w:numId="16">
    <w:abstractNumId w:val="33"/>
  </w:num>
  <w:num w:numId="17">
    <w:abstractNumId w:val="2"/>
  </w:num>
  <w:num w:numId="18">
    <w:abstractNumId w:val="29"/>
  </w:num>
  <w:num w:numId="19">
    <w:abstractNumId w:val="8"/>
  </w:num>
  <w:num w:numId="20">
    <w:abstractNumId w:val="26"/>
  </w:num>
  <w:num w:numId="21">
    <w:abstractNumId w:val="6"/>
  </w:num>
  <w:num w:numId="22">
    <w:abstractNumId w:val="9"/>
  </w:num>
  <w:num w:numId="23">
    <w:abstractNumId w:val="30"/>
  </w:num>
  <w:num w:numId="24">
    <w:abstractNumId w:val="14"/>
  </w:num>
  <w:num w:numId="25">
    <w:abstractNumId w:val="27"/>
  </w:num>
  <w:num w:numId="26">
    <w:abstractNumId w:val="10"/>
  </w:num>
  <w:num w:numId="27">
    <w:abstractNumId w:val="19"/>
  </w:num>
  <w:num w:numId="28">
    <w:abstractNumId w:val="7"/>
  </w:num>
  <w:num w:numId="29">
    <w:abstractNumId w:val="25"/>
  </w:num>
  <w:num w:numId="30">
    <w:abstractNumId w:val="34"/>
  </w:num>
  <w:num w:numId="31">
    <w:abstractNumId w:val="22"/>
  </w:num>
  <w:num w:numId="32">
    <w:abstractNumId w:val="3"/>
  </w:num>
  <w:num w:numId="33">
    <w:abstractNumId w:val="20"/>
  </w:num>
  <w:num w:numId="34">
    <w:abstractNumId w:val="15"/>
  </w:num>
  <w:num w:numId="35">
    <w:abstractNumId w:val="32"/>
  </w:num>
  <w:num w:numId="36">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400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0152"/>
    <w:rsid w:val="000003F4"/>
    <w:rsid w:val="00000F64"/>
    <w:rsid w:val="00001114"/>
    <w:rsid w:val="0000185B"/>
    <w:rsid w:val="000020F2"/>
    <w:rsid w:val="00002343"/>
    <w:rsid w:val="0000252B"/>
    <w:rsid w:val="00002762"/>
    <w:rsid w:val="0000300C"/>
    <w:rsid w:val="00003581"/>
    <w:rsid w:val="00003F3D"/>
    <w:rsid w:val="00005543"/>
    <w:rsid w:val="00005BA9"/>
    <w:rsid w:val="00005BFB"/>
    <w:rsid w:val="00006DAA"/>
    <w:rsid w:val="00006EAE"/>
    <w:rsid w:val="00007D62"/>
    <w:rsid w:val="00007DFA"/>
    <w:rsid w:val="000108F5"/>
    <w:rsid w:val="00010ABB"/>
    <w:rsid w:val="000123D1"/>
    <w:rsid w:val="000126F6"/>
    <w:rsid w:val="00012890"/>
    <w:rsid w:val="00012EAE"/>
    <w:rsid w:val="00013CF1"/>
    <w:rsid w:val="0001406F"/>
    <w:rsid w:val="0001525A"/>
    <w:rsid w:val="0001546C"/>
    <w:rsid w:val="00015F7C"/>
    <w:rsid w:val="00015FDA"/>
    <w:rsid w:val="00016547"/>
    <w:rsid w:val="000166D4"/>
    <w:rsid w:val="00016871"/>
    <w:rsid w:val="0001729D"/>
    <w:rsid w:val="000176BD"/>
    <w:rsid w:val="00017A5A"/>
    <w:rsid w:val="00017E85"/>
    <w:rsid w:val="00020308"/>
    <w:rsid w:val="000203BC"/>
    <w:rsid w:val="00020A68"/>
    <w:rsid w:val="00020B08"/>
    <w:rsid w:val="00020B85"/>
    <w:rsid w:val="000228FB"/>
    <w:rsid w:val="000236E4"/>
    <w:rsid w:val="00023781"/>
    <w:rsid w:val="00023B81"/>
    <w:rsid w:val="00023F77"/>
    <w:rsid w:val="00025364"/>
    <w:rsid w:val="000258C5"/>
    <w:rsid w:val="00025D16"/>
    <w:rsid w:val="000266B6"/>
    <w:rsid w:val="00026948"/>
    <w:rsid w:val="00026AA0"/>
    <w:rsid w:val="00027555"/>
    <w:rsid w:val="0002766D"/>
    <w:rsid w:val="00027862"/>
    <w:rsid w:val="000278A7"/>
    <w:rsid w:val="00027D93"/>
    <w:rsid w:val="00030E4E"/>
    <w:rsid w:val="00030F74"/>
    <w:rsid w:val="0003244D"/>
    <w:rsid w:val="000334AA"/>
    <w:rsid w:val="00033523"/>
    <w:rsid w:val="00033939"/>
    <w:rsid w:val="00033B2D"/>
    <w:rsid w:val="00033BE8"/>
    <w:rsid w:val="00033EBC"/>
    <w:rsid w:val="00034D36"/>
    <w:rsid w:val="00034D45"/>
    <w:rsid w:val="00034DD7"/>
    <w:rsid w:val="00036433"/>
    <w:rsid w:val="000367FE"/>
    <w:rsid w:val="00036912"/>
    <w:rsid w:val="00037539"/>
    <w:rsid w:val="000402E2"/>
    <w:rsid w:val="000409E9"/>
    <w:rsid w:val="00040B1B"/>
    <w:rsid w:val="00040CDD"/>
    <w:rsid w:val="00041055"/>
    <w:rsid w:val="00041630"/>
    <w:rsid w:val="00042286"/>
    <w:rsid w:val="000425AC"/>
    <w:rsid w:val="00044F79"/>
    <w:rsid w:val="000452FA"/>
    <w:rsid w:val="000466CE"/>
    <w:rsid w:val="0004679B"/>
    <w:rsid w:val="00047A89"/>
    <w:rsid w:val="00047B5B"/>
    <w:rsid w:val="00050370"/>
    <w:rsid w:val="0005070D"/>
    <w:rsid w:val="000507BD"/>
    <w:rsid w:val="00050B8A"/>
    <w:rsid w:val="00050C0C"/>
    <w:rsid w:val="0005199B"/>
    <w:rsid w:val="000530F3"/>
    <w:rsid w:val="00053A94"/>
    <w:rsid w:val="00053AAD"/>
    <w:rsid w:val="00053DF3"/>
    <w:rsid w:val="00053E81"/>
    <w:rsid w:val="0005405B"/>
    <w:rsid w:val="00054A32"/>
    <w:rsid w:val="00054B50"/>
    <w:rsid w:val="00055160"/>
    <w:rsid w:val="0005535F"/>
    <w:rsid w:val="000564F2"/>
    <w:rsid w:val="00056855"/>
    <w:rsid w:val="00060B4B"/>
    <w:rsid w:val="000611C3"/>
    <w:rsid w:val="00061320"/>
    <w:rsid w:val="00061547"/>
    <w:rsid w:val="000619F5"/>
    <w:rsid w:val="00061C89"/>
    <w:rsid w:val="00061E03"/>
    <w:rsid w:val="00061FC5"/>
    <w:rsid w:val="00062078"/>
    <w:rsid w:val="00062D9B"/>
    <w:rsid w:val="0006376B"/>
    <w:rsid w:val="0006471C"/>
    <w:rsid w:val="00064947"/>
    <w:rsid w:val="000651C0"/>
    <w:rsid w:val="000652FF"/>
    <w:rsid w:val="0006560A"/>
    <w:rsid w:val="0006701E"/>
    <w:rsid w:val="00067329"/>
    <w:rsid w:val="000700BB"/>
    <w:rsid w:val="00070607"/>
    <w:rsid w:val="00070D46"/>
    <w:rsid w:val="00071339"/>
    <w:rsid w:val="00071849"/>
    <w:rsid w:val="00071C54"/>
    <w:rsid w:val="0007241B"/>
    <w:rsid w:val="00072618"/>
    <w:rsid w:val="00072751"/>
    <w:rsid w:val="0007282E"/>
    <w:rsid w:val="00072937"/>
    <w:rsid w:val="00072F42"/>
    <w:rsid w:val="000735C7"/>
    <w:rsid w:val="00074291"/>
    <w:rsid w:val="00074828"/>
    <w:rsid w:val="00074E99"/>
    <w:rsid w:val="00075203"/>
    <w:rsid w:val="000752DD"/>
    <w:rsid w:val="000758C4"/>
    <w:rsid w:val="0007646E"/>
    <w:rsid w:val="00076AEA"/>
    <w:rsid w:val="00076CA1"/>
    <w:rsid w:val="00077BB9"/>
    <w:rsid w:val="00077D21"/>
    <w:rsid w:val="00080278"/>
    <w:rsid w:val="000808AB"/>
    <w:rsid w:val="0008198D"/>
    <w:rsid w:val="0008298F"/>
    <w:rsid w:val="00082E39"/>
    <w:rsid w:val="00083537"/>
    <w:rsid w:val="0008397B"/>
    <w:rsid w:val="00083A7E"/>
    <w:rsid w:val="00083F91"/>
    <w:rsid w:val="00084100"/>
    <w:rsid w:val="00084917"/>
    <w:rsid w:val="000854B4"/>
    <w:rsid w:val="000859CE"/>
    <w:rsid w:val="00085A1E"/>
    <w:rsid w:val="00086C15"/>
    <w:rsid w:val="000871BA"/>
    <w:rsid w:val="000875F2"/>
    <w:rsid w:val="000877C4"/>
    <w:rsid w:val="00087A4D"/>
    <w:rsid w:val="00087B03"/>
    <w:rsid w:val="00090823"/>
    <w:rsid w:val="00090F29"/>
    <w:rsid w:val="00092448"/>
    <w:rsid w:val="0009359B"/>
    <w:rsid w:val="0009420B"/>
    <w:rsid w:val="000946F7"/>
    <w:rsid w:val="00094ED8"/>
    <w:rsid w:val="000953AB"/>
    <w:rsid w:val="00095AB1"/>
    <w:rsid w:val="00095BA1"/>
    <w:rsid w:val="00096F02"/>
    <w:rsid w:val="00097524"/>
    <w:rsid w:val="000978C2"/>
    <w:rsid w:val="000A159F"/>
    <w:rsid w:val="000A1B9B"/>
    <w:rsid w:val="000A20E4"/>
    <w:rsid w:val="000A271C"/>
    <w:rsid w:val="000A2934"/>
    <w:rsid w:val="000A30CE"/>
    <w:rsid w:val="000A3F28"/>
    <w:rsid w:val="000A52D9"/>
    <w:rsid w:val="000A5415"/>
    <w:rsid w:val="000A5C9F"/>
    <w:rsid w:val="000A62B0"/>
    <w:rsid w:val="000A6F11"/>
    <w:rsid w:val="000A709E"/>
    <w:rsid w:val="000A774B"/>
    <w:rsid w:val="000B0C9B"/>
    <w:rsid w:val="000B246D"/>
    <w:rsid w:val="000B35D6"/>
    <w:rsid w:val="000B36A2"/>
    <w:rsid w:val="000B3892"/>
    <w:rsid w:val="000B3C39"/>
    <w:rsid w:val="000B3E40"/>
    <w:rsid w:val="000B49DE"/>
    <w:rsid w:val="000B4FFE"/>
    <w:rsid w:val="000B5063"/>
    <w:rsid w:val="000B5A5D"/>
    <w:rsid w:val="000B5F71"/>
    <w:rsid w:val="000C0012"/>
    <w:rsid w:val="000C0049"/>
    <w:rsid w:val="000C0369"/>
    <w:rsid w:val="000C05A8"/>
    <w:rsid w:val="000C14C7"/>
    <w:rsid w:val="000C1FB1"/>
    <w:rsid w:val="000C269B"/>
    <w:rsid w:val="000C2DD5"/>
    <w:rsid w:val="000C33F6"/>
    <w:rsid w:val="000C3E81"/>
    <w:rsid w:val="000C4500"/>
    <w:rsid w:val="000C62B9"/>
    <w:rsid w:val="000C62F7"/>
    <w:rsid w:val="000C6887"/>
    <w:rsid w:val="000C72E7"/>
    <w:rsid w:val="000C7BA3"/>
    <w:rsid w:val="000D03E3"/>
    <w:rsid w:val="000D0681"/>
    <w:rsid w:val="000D06FE"/>
    <w:rsid w:val="000D0F27"/>
    <w:rsid w:val="000D0F89"/>
    <w:rsid w:val="000D1BFC"/>
    <w:rsid w:val="000D1C75"/>
    <w:rsid w:val="000D3801"/>
    <w:rsid w:val="000D389C"/>
    <w:rsid w:val="000D3C60"/>
    <w:rsid w:val="000D4772"/>
    <w:rsid w:val="000D4C10"/>
    <w:rsid w:val="000D51B8"/>
    <w:rsid w:val="000D65CE"/>
    <w:rsid w:val="000D77A1"/>
    <w:rsid w:val="000D7FE3"/>
    <w:rsid w:val="000E113A"/>
    <w:rsid w:val="000E177C"/>
    <w:rsid w:val="000E17CF"/>
    <w:rsid w:val="000E19F6"/>
    <w:rsid w:val="000E20AC"/>
    <w:rsid w:val="000E211A"/>
    <w:rsid w:val="000E21EC"/>
    <w:rsid w:val="000E2230"/>
    <w:rsid w:val="000E22F3"/>
    <w:rsid w:val="000E3091"/>
    <w:rsid w:val="000E35C3"/>
    <w:rsid w:val="000E364C"/>
    <w:rsid w:val="000E38E8"/>
    <w:rsid w:val="000E4A6F"/>
    <w:rsid w:val="000E54AC"/>
    <w:rsid w:val="000E553B"/>
    <w:rsid w:val="000E5ADF"/>
    <w:rsid w:val="000E6034"/>
    <w:rsid w:val="000E6094"/>
    <w:rsid w:val="000F0BD6"/>
    <w:rsid w:val="000F0BFA"/>
    <w:rsid w:val="000F1539"/>
    <w:rsid w:val="000F223A"/>
    <w:rsid w:val="000F2649"/>
    <w:rsid w:val="000F2EAB"/>
    <w:rsid w:val="000F2F8E"/>
    <w:rsid w:val="000F3A8C"/>
    <w:rsid w:val="000F3BD9"/>
    <w:rsid w:val="000F4111"/>
    <w:rsid w:val="000F5552"/>
    <w:rsid w:val="000F5952"/>
    <w:rsid w:val="000F6635"/>
    <w:rsid w:val="000F6684"/>
    <w:rsid w:val="000F694E"/>
    <w:rsid w:val="000F6D2C"/>
    <w:rsid w:val="000F6E31"/>
    <w:rsid w:val="000F6FA2"/>
    <w:rsid w:val="000F75A8"/>
    <w:rsid w:val="000F77A4"/>
    <w:rsid w:val="000F7C62"/>
    <w:rsid w:val="000F7E7E"/>
    <w:rsid w:val="0010027E"/>
    <w:rsid w:val="00101116"/>
    <w:rsid w:val="0010166C"/>
    <w:rsid w:val="0010173B"/>
    <w:rsid w:val="00101808"/>
    <w:rsid w:val="00102EF1"/>
    <w:rsid w:val="00103591"/>
    <w:rsid w:val="001047CE"/>
    <w:rsid w:val="00107507"/>
    <w:rsid w:val="001078BE"/>
    <w:rsid w:val="001101A4"/>
    <w:rsid w:val="00111784"/>
    <w:rsid w:val="001117C2"/>
    <w:rsid w:val="001119D0"/>
    <w:rsid w:val="00111A6E"/>
    <w:rsid w:val="00111A73"/>
    <w:rsid w:val="00111E69"/>
    <w:rsid w:val="00111FB1"/>
    <w:rsid w:val="00112F67"/>
    <w:rsid w:val="00113FD1"/>
    <w:rsid w:val="001140E5"/>
    <w:rsid w:val="00114823"/>
    <w:rsid w:val="00114FE1"/>
    <w:rsid w:val="0011560E"/>
    <w:rsid w:val="00116D31"/>
    <w:rsid w:val="00117B0D"/>
    <w:rsid w:val="00120F3A"/>
    <w:rsid w:val="00122B24"/>
    <w:rsid w:val="001249A4"/>
    <w:rsid w:val="00125195"/>
    <w:rsid w:val="001253E3"/>
    <w:rsid w:val="0012548E"/>
    <w:rsid w:val="00125A72"/>
    <w:rsid w:val="001267BF"/>
    <w:rsid w:val="00127A10"/>
    <w:rsid w:val="00130284"/>
    <w:rsid w:val="0013054B"/>
    <w:rsid w:val="00130EA2"/>
    <w:rsid w:val="00131108"/>
    <w:rsid w:val="00131131"/>
    <w:rsid w:val="00131574"/>
    <w:rsid w:val="00131683"/>
    <w:rsid w:val="0013181E"/>
    <w:rsid w:val="00131A27"/>
    <w:rsid w:val="00133091"/>
    <w:rsid w:val="00135105"/>
    <w:rsid w:val="00135C08"/>
    <w:rsid w:val="00135E8D"/>
    <w:rsid w:val="00136593"/>
    <w:rsid w:val="00137D19"/>
    <w:rsid w:val="001401B3"/>
    <w:rsid w:val="001408A6"/>
    <w:rsid w:val="00140939"/>
    <w:rsid w:val="00141AD8"/>
    <w:rsid w:val="00142887"/>
    <w:rsid w:val="00142E2B"/>
    <w:rsid w:val="00142FAC"/>
    <w:rsid w:val="00142FB1"/>
    <w:rsid w:val="00143366"/>
    <w:rsid w:val="00145B33"/>
    <w:rsid w:val="0014645D"/>
    <w:rsid w:val="00146B5B"/>
    <w:rsid w:val="00146E50"/>
    <w:rsid w:val="00146EFE"/>
    <w:rsid w:val="00146FDB"/>
    <w:rsid w:val="001473A3"/>
    <w:rsid w:val="00147504"/>
    <w:rsid w:val="00147B3A"/>
    <w:rsid w:val="00147B5E"/>
    <w:rsid w:val="00150451"/>
    <w:rsid w:val="00151450"/>
    <w:rsid w:val="0015173F"/>
    <w:rsid w:val="00152B65"/>
    <w:rsid w:val="00152D63"/>
    <w:rsid w:val="00152F96"/>
    <w:rsid w:val="001530A9"/>
    <w:rsid w:val="001531FF"/>
    <w:rsid w:val="00153203"/>
    <w:rsid w:val="00153D58"/>
    <w:rsid w:val="0015489E"/>
    <w:rsid w:val="00154C99"/>
    <w:rsid w:val="00154E17"/>
    <w:rsid w:val="001557DB"/>
    <w:rsid w:val="0015637E"/>
    <w:rsid w:val="0015715C"/>
    <w:rsid w:val="00160300"/>
    <w:rsid w:val="0016236F"/>
    <w:rsid w:val="001629ED"/>
    <w:rsid w:val="00162E24"/>
    <w:rsid w:val="00163580"/>
    <w:rsid w:val="0016376A"/>
    <w:rsid w:val="00163A47"/>
    <w:rsid w:val="00163BDF"/>
    <w:rsid w:val="0016489A"/>
    <w:rsid w:val="00164A14"/>
    <w:rsid w:val="001651D7"/>
    <w:rsid w:val="00165413"/>
    <w:rsid w:val="00165F61"/>
    <w:rsid w:val="0016643B"/>
    <w:rsid w:val="001669CA"/>
    <w:rsid w:val="00166C3D"/>
    <w:rsid w:val="00166CD4"/>
    <w:rsid w:val="00166F7C"/>
    <w:rsid w:val="001670CE"/>
    <w:rsid w:val="00167140"/>
    <w:rsid w:val="00167853"/>
    <w:rsid w:val="001709C4"/>
    <w:rsid w:val="001710A9"/>
    <w:rsid w:val="00171887"/>
    <w:rsid w:val="001718A7"/>
    <w:rsid w:val="00171B9B"/>
    <w:rsid w:val="001729A0"/>
    <w:rsid w:val="00172AAB"/>
    <w:rsid w:val="00173469"/>
    <w:rsid w:val="001744E6"/>
    <w:rsid w:val="001746CA"/>
    <w:rsid w:val="00174CFD"/>
    <w:rsid w:val="001753F1"/>
    <w:rsid w:val="00175EEA"/>
    <w:rsid w:val="00175FA8"/>
    <w:rsid w:val="00176C49"/>
    <w:rsid w:val="00176E39"/>
    <w:rsid w:val="001771A0"/>
    <w:rsid w:val="00177D9F"/>
    <w:rsid w:val="00180EC6"/>
    <w:rsid w:val="00181404"/>
    <w:rsid w:val="00181E98"/>
    <w:rsid w:val="00182142"/>
    <w:rsid w:val="00182CD6"/>
    <w:rsid w:val="00182D5F"/>
    <w:rsid w:val="001832DE"/>
    <w:rsid w:val="00183BAE"/>
    <w:rsid w:val="00183C04"/>
    <w:rsid w:val="00183E71"/>
    <w:rsid w:val="00184634"/>
    <w:rsid w:val="00185ED9"/>
    <w:rsid w:val="00186058"/>
    <w:rsid w:val="0018656A"/>
    <w:rsid w:val="00186635"/>
    <w:rsid w:val="00186A8C"/>
    <w:rsid w:val="00187C3A"/>
    <w:rsid w:val="00187D14"/>
    <w:rsid w:val="00187DB3"/>
    <w:rsid w:val="00190015"/>
    <w:rsid w:val="001903D2"/>
    <w:rsid w:val="0019097C"/>
    <w:rsid w:val="00191E4D"/>
    <w:rsid w:val="00191EC6"/>
    <w:rsid w:val="0019201F"/>
    <w:rsid w:val="001921B3"/>
    <w:rsid w:val="00193BBF"/>
    <w:rsid w:val="00193EF2"/>
    <w:rsid w:val="00194793"/>
    <w:rsid w:val="00194B30"/>
    <w:rsid w:val="00194CA7"/>
    <w:rsid w:val="0019591D"/>
    <w:rsid w:val="00195A83"/>
    <w:rsid w:val="00195B99"/>
    <w:rsid w:val="00195C3E"/>
    <w:rsid w:val="00197099"/>
    <w:rsid w:val="001A0377"/>
    <w:rsid w:val="001A04EA"/>
    <w:rsid w:val="001A0B8C"/>
    <w:rsid w:val="001A1459"/>
    <w:rsid w:val="001A207D"/>
    <w:rsid w:val="001A21C5"/>
    <w:rsid w:val="001A2A42"/>
    <w:rsid w:val="001A32D8"/>
    <w:rsid w:val="001A3F23"/>
    <w:rsid w:val="001A4911"/>
    <w:rsid w:val="001A4F47"/>
    <w:rsid w:val="001A561F"/>
    <w:rsid w:val="001A65FB"/>
    <w:rsid w:val="001A6AAB"/>
    <w:rsid w:val="001B024D"/>
    <w:rsid w:val="001B05F4"/>
    <w:rsid w:val="001B32EE"/>
    <w:rsid w:val="001B4196"/>
    <w:rsid w:val="001B48E0"/>
    <w:rsid w:val="001B4F37"/>
    <w:rsid w:val="001B53F1"/>
    <w:rsid w:val="001B5C74"/>
    <w:rsid w:val="001B611F"/>
    <w:rsid w:val="001B68E7"/>
    <w:rsid w:val="001B697C"/>
    <w:rsid w:val="001B70FE"/>
    <w:rsid w:val="001B7BBB"/>
    <w:rsid w:val="001C0903"/>
    <w:rsid w:val="001C0C48"/>
    <w:rsid w:val="001C17B6"/>
    <w:rsid w:val="001C3116"/>
    <w:rsid w:val="001C3AF5"/>
    <w:rsid w:val="001C3EDC"/>
    <w:rsid w:val="001C4C5B"/>
    <w:rsid w:val="001C5048"/>
    <w:rsid w:val="001C63DA"/>
    <w:rsid w:val="001C66E9"/>
    <w:rsid w:val="001C67D1"/>
    <w:rsid w:val="001C6908"/>
    <w:rsid w:val="001C6A3B"/>
    <w:rsid w:val="001C74C8"/>
    <w:rsid w:val="001C75E0"/>
    <w:rsid w:val="001C7D45"/>
    <w:rsid w:val="001D0A56"/>
    <w:rsid w:val="001D0ABA"/>
    <w:rsid w:val="001D0C7F"/>
    <w:rsid w:val="001D0D94"/>
    <w:rsid w:val="001D2423"/>
    <w:rsid w:val="001D29E0"/>
    <w:rsid w:val="001D29F7"/>
    <w:rsid w:val="001D2A58"/>
    <w:rsid w:val="001D2BA7"/>
    <w:rsid w:val="001D3348"/>
    <w:rsid w:val="001D3D48"/>
    <w:rsid w:val="001D41D4"/>
    <w:rsid w:val="001D4ED4"/>
    <w:rsid w:val="001D4F2E"/>
    <w:rsid w:val="001D5951"/>
    <w:rsid w:val="001D611A"/>
    <w:rsid w:val="001D6450"/>
    <w:rsid w:val="001D6FA1"/>
    <w:rsid w:val="001E0054"/>
    <w:rsid w:val="001E060E"/>
    <w:rsid w:val="001E0AF8"/>
    <w:rsid w:val="001E1B3C"/>
    <w:rsid w:val="001E1E8C"/>
    <w:rsid w:val="001E272B"/>
    <w:rsid w:val="001E2E50"/>
    <w:rsid w:val="001E312F"/>
    <w:rsid w:val="001E35BB"/>
    <w:rsid w:val="001E35CE"/>
    <w:rsid w:val="001E3C21"/>
    <w:rsid w:val="001E4A1D"/>
    <w:rsid w:val="001E535C"/>
    <w:rsid w:val="001E54C2"/>
    <w:rsid w:val="001E6247"/>
    <w:rsid w:val="001E6647"/>
    <w:rsid w:val="001E75B6"/>
    <w:rsid w:val="001F00B0"/>
    <w:rsid w:val="001F04B9"/>
    <w:rsid w:val="001F0D7D"/>
    <w:rsid w:val="001F2B7A"/>
    <w:rsid w:val="001F2F5D"/>
    <w:rsid w:val="001F334D"/>
    <w:rsid w:val="001F4F13"/>
    <w:rsid w:val="001F51BA"/>
    <w:rsid w:val="001F603C"/>
    <w:rsid w:val="001F625B"/>
    <w:rsid w:val="001F6415"/>
    <w:rsid w:val="001F65E7"/>
    <w:rsid w:val="001F7B26"/>
    <w:rsid w:val="001F7E90"/>
    <w:rsid w:val="0020029B"/>
    <w:rsid w:val="00200840"/>
    <w:rsid w:val="0020291A"/>
    <w:rsid w:val="00202DFD"/>
    <w:rsid w:val="0020484C"/>
    <w:rsid w:val="00204881"/>
    <w:rsid w:val="0020493B"/>
    <w:rsid w:val="00204D0B"/>
    <w:rsid w:val="00205876"/>
    <w:rsid w:val="00205D5C"/>
    <w:rsid w:val="0020601E"/>
    <w:rsid w:val="002069A9"/>
    <w:rsid w:val="00206BE1"/>
    <w:rsid w:val="00207080"/>
    <w:rsid w:val="002070F1"/>
    <w:rsid w:val="00207601"/>
    <w:rsid w:val="00207799"/>
    <w:rsid w:val="00207825"/>
    <w:rsid w:val="00207F2E"/>
    <w:rsid w:val="002106E1"/>
    <w:rsid w:val="00210F87"/>
    <w:rsid w:val="002114B4"/>
    <w:rsid w:val="002119BC"/>
    <w:rsid w:val="00211FB2"/>
    <w:rsid w:val="00211FD9"/>
    <w:rsid w:val="00213223"/>
    <w:rsid w:val="002137FF"/>
    <w:rsid w:val="00213D89"/>
    <w:rsid w:val="002142D4"/>
    <w:rsid w:val="00214534"/>
    <w:rsid w:val="002149D8"/>
    <w:rsid w:val="00214BF0"/>
    <w:rsid w:val="00215918"/>
    <w:rsid w:val="00215EC1"/>
    <w:rsid w:val="002164E1"/>
    <w:rsid w:val="002177EE"/>
    <w:rsid w:val="00217EF8"/>
    <w:rsid w:val="00220128"/>
    <w:rsid w:val="002211F2"/>
    <w:rsid w:val="0022120D"/>
    <w:rsid w:val="00221CAB"/>
    <w:rsid w:val="0022247E"/>
    <w:rsid w:val="002225A8"/>
    <w:rsid w:val="00222B7F"/>
    <w:rsid w:val="002234C5"/>
    <w:rsid w:val="002238F6"/>
    <w:rsid w:val="002242B5"/>
    <w:rsid w:val="002242DC"/>
    <w:rsid w:val="00224D7F"/>
    <w:rsid w:val="00225179"/>
    <w:rsid w:val="00225C2F"/>
    <w:rsid w:val="00225C4B"/>
    <w:rsid w:val="00226605"/>
    <w:rsid w:val="00226C4B"/>
    <w:rsid w:val="002272E1"/>
    <w:rsid w:val="0023114D"/>
    <w:rsid w:val="00231284"/>
    <w:rsid w:val="00231947"/>
    <w:rsid w:val="00231E46"/>
    <w:rsid w:val="00232B2B"/>
    <w:rsid w:val="002332B4"/>
    <w:rsid w:val="00233748"/>
    <w:rsid w:val="00233D04"/>
    <w:rsid w:val="00234324"/>
    <w:rsid w:val="0023436F"/>
    <w:rsid w:val="002345EA"/>
    <w:rsid w:val="00234A5F"/>
    <w:rsid w:val="00234E9F"/>
    <w:rsid w:val="0023506A"/>
    <w:rsid w:val="002354CA"/>
    <w:rsid w:val="00235F32"/>
    <w:rsid w:val="0023640D"/>
    <w:rsid w:val="002366EC"/>
    <w:rsid w:val="002367AB"/>
    <w:rsid w:val="0023690A"/>
    <w:rsid w:val="00236B9C"/>
    <w:rsid w:val="0023738E"/>
    <w:rsid w:val="00237521"/>
    <w:rsid w:val="0023754E"/>
    <w:rsid w:val="00237700"/>
    <w:rsid w:val="002402D6"/>
    <w:rsid w:val="00241599"/>
    <w:rsid w:val="002416BF"/>
    <w:rsid w:val="002423D3"/>
    <w:rsid w:val="00242996"/>
    <w:rsid w:val="002433D9"/>
    <w:rsid w:val="0024365E"/>
    <w:rsid w:val="002459F5"/>
    <w:rsid w:val="002462FB"/>
    <w:rsid w:val="002463DB"/>
    <w:rsid w:val="002475D9"/>
    <w:rsid w:val="00247C06"/>
    <w:rsid w:val="0025105F"/>
    <w:rsid w:val="00252015"/>
    <w:rsid w:val="00252042"/>
    <w:rsid w:val="00252228"/>
    <w:rsid w:val="0025275F"/>
    <w:rsid w:val="0025350D"/>
    <w:rsid w:val="00253706"/>
    <w:rsid w:val="002537DC"/>
    <w:rsid w:val="002540A3"/>
    <w:rsid w:val="0025461A"/>
    <w:rsid w:val="00254E79"/>
    <w:rsid w:val="00255594"/>
    <w:rsid w:val="00255626"/>
    <w:rsid w:val="0025748C"/>
    <w:rsid w:val="00257B5A"/>
    <w:rsid w:val="00257CC1"/>
    <w:rsid w:val="00260150"/>
    <w:rsid w:val="00260BC0"/>
    <w:rsid w:val="0026102E"/>
    <w:rsid w:val="0026124D"/>
    <w:rsid w:val="002613A6"/>
    <w:rsid w:val="00261AB5"/>
    <w:rsid w:val="00261E0A"/>
    <w:rsid w:val="00261EBC"/>
    <w:rsid w:val="00262D55"/>
    <w:rsid w:val="00262E23"/>
    <w:rsid w:val="0026316C"/>
    <w:rsid w:val="002643E8"/>
    <w:rsid w:val="002645C6"/>
    <w:rsid w:val="00264A3C"/>
    <w:rsid w:val="00264B54"/>
    <w:rsid w:val="002657A9"/>
    <w:rsid w:val="00265B5B"/>
    <w:rsid w:val="00265B9F"/>
    <w:rsid w:val="002664B4"/>
    <w:rsid w:val="00266866"/>
    <w:rsid w:val="00266F40"/>
    <w:rsid w:val="0026715F"/>
    <w:rsid w:val="0026739A"/>
    <w:rsid w:val="002673CF"/>
    <w:rsid w:val="0026770D"/>
    <w:rsid w:val="00267A04"/>
    <w:rsid w:val="00267CEA"/>
    <w:rsid w:val="00270EDD"/>
    <w:rsid w:val="00271F06"/>
    <w:rsid w:val="00272348"/>
    <w:rsid w:val="002723B2"/>
    <w:rsid w:val="00272565"/>
    <w:rsid w:val="00272630"/>
    <w:rsid w:val="002754FD"/>
    <w:rsid w:val="0027601F"/>
    <w:rsid w:val="002761E9"/>
    <w:rsid w:val="002767BD"/>
    <w:rsid w:val="00277061"/>
    <w:rsid w:val="002770E4"/>
    <w:rsid w:val="0027718A"/>
    <w:rsid w:val="00277675"/>
    <w:rsid w:val="00277A1F"/>
    <w:rsid w:val="00277B06"/>
    <w:rsid w:val="00283592"/>
    <w:rsid w:val="0028484B"/>
    <w:rsid w:val="00284BBD"/>
    <w:rsid w:val="00285312"/>
    <w:rsid w:val="00285AB1"/>
    <w:rsid w:val="00286388"/>
    <w:rsid w:val="00286570"/>
    <w:rsid w:val="00286960"/>
    <w:rsid w:val="00286B5E"/>
    <w:rsid w:val="002870B7"/>
    <w:rsid w:val="0028741C"/>
    <w:rsid w:val="0029004A"/>
    <w:rsid w:val="00290B5F"/>
    <w:rsid w:val="00290B6A"/>
    <w:rsid w:val="00290F08"/>
    <w:rsid w:val="0029118D"/>
    <w:rsid w:val="0029118F"/>
    <w:rsid w:val="00291D0E"/>
    <w:rsid w:val="002921BB"/>
    <w:rsid w:val="0029259B"/>
    <w:rsid w:val="00292968"/>
    <w:rsid w:val="00292F35"/>
    <w:rsid w:val="00293B4B"/>
    <w:rsid w:val="00294095"/>
    <w:rsid w:val="00294E44"/>
    <w:rsid w:val="00294F97"/>
    <w:rsid w:val="002955B5"/>
    <w:rsid w:val="0029589E"/>
    <w:rsid w:val="00295E9B"/>
    <w:rsid w:val="00296733"/>
    <w:rsid w:val="0029729B"/>
    <w:rsid w:val="00297B1B"/>
    <w:rsid w:val="00297F25"/>
    <w:rsid w:val="002A07A9"/>
    <w:rsid w:val="002A1386"/>
    <w:rsid w:val="002A17C1"/>
    <w:rsid w:val="002A29DD"/>
    <w:rsid w:val="002A2AF0"/>
    <w:rsid w:val="002A2ED5"/>
    <w:rsid w:val="002A2FD4"/>
    <w:rsid w:val="002A436F"/>
    <w:rsid w:val="002A4A62"/>
    <w:rsid w:val="002A561C"/>
    <w:rsid w:val="002A69BC"/>
    <w:rsid w:val="002A6ECF"/>
    <w:rsid w:val="002A7556"/>
    <w:rsid w:val="002B0174"/>
    <w:rsid w:val="002B0E14"/>
    <w:rsid w:val="002B153C"/>
    <w:rsid w:val="002B1E50"/>
    <w:rsid w:val="002B25B5"/>
    <w:rsid w:val="002B3851"/>
    <w:rsid w:val="002B4433"/>
    <w:rsid w:val="002B5065"/>
    <w:rsid w:val="002B74D3"/>
    <w:rsid w:val="002C0327"/>
    <w:rsid w:val="002C1B6B"/>
    <w:rsid w:val="002C1E33"/>
    <w:rsid w:val="002C1FA8"/>
    <w:rsid w:val="002C259A"/>
    <w:rsid w:val="002C2664"/>
    <w:rsid w:val="002C2984"/>
    <w:rsid w:val="002C2B44"/>
    <w:rsid w:val="002C2B90"/>
    <w:rsid w:val="002C2FB2"/>
    <w:rsid w:val="002C31CE"/>
    <w:rsid w:val="002C3882"/>
    <w:rsid w:val="002C3B3B"/>
    <w:rsid w:val="002C417F"/>
    <w:rsid w:val="002C48D8"/>
    <w:rsid w:val="002C51D7"/>
    <w:rsid w:val="002C599C"/>
    <w:rsid w:val="002C5FCB"/>
    <w:rsid w:val="002C62BF"/>
    <w:rsid w:val="002C6B1B"/>
    <w:rsid w:val="002C760E"/>
    <w:rsid w:val="002C7F8A"/>
    <w:rsid w:val="002D0A81"/>
    <w:rsid w:val="002D2A36"/>
    <w:rsid w:val="002D2FD9"/>
    <w:rsid w:val="002D3035"/>
    <w:rsid w:val="002D3452"/>
    <w:rsid w:val="002D34CD"/>
    <w:rsid w:val="002D39E4"/>
    <w:rsid w:val="002D3F29"/>
    <w:rsid w:val="002D50DA"/>
    <w:rsid w:val="002D5672"/>
    <w:rsid w:val="002D66CA"/>
    <w:rsid w:val="002D66D6"/>
    <w:rsid w:val="002D6E39"/>
    <w:rsid w:val="002D74EE"/>
    <w:rsid w:val="002D7DBB"/>
    <w:rsid w:val="002E0161"/>
    <w:rsid w:val="002E06B8"/>
    <w:rsid w:val="002E1733"/>
    <w:rsid w:val="002E2CAB"/>
    <w:rsid w:val="002E2F5A"/>
    <w:rsid w:val="002E3452"/>
    <w:rsid w:val="002E37CC"/>
    <w:rsid w:val="002E38E6"/>
    <w:rsid w:val="002E3A46"/>
    <w:rsid w:val="002E44A1"/>
    <w:rsid w:val="002E44CC"/>
    <w:rsid w:val="002E5323"/>
    <w:rsid w:val="002E5431"/>
    <w:rsid w:val="002E58E9"/>
    <w:rsid w:val="002E5ED3"/>
    <w:rsid w:val="002E666F"/>
    <w:rsid w:val="002E6901"/>
    <w:rsid w:val="002E70D4"/>
    <w:rsid w:val="002E7385"/>
    <w:rsid w:val="002F0762"/>
    <w:rsid w:val="002F0BF7"/>
    <w:rsid w:val="002F0EE6"/>
    <w:rsid w:val="002F16B5"/>
    <w:rsid w:val="002F1A73"/>
    <w:rsid w:val="002F1CED"/>
    <w:rsid w:val="002F29FA"/>
    <w:rsid w:val="002F3349"/>
    <w:rsid w:val="002F4B17"/>
    <w:rsid w:val="002F4F77"/>
    <w:rsid w:val="002F58C0"/>
    <w:rsid w:val="002F5CE4"/>
    <w:rsid w:val="002F6168"/>
    <w:rsid w:val="002F62E4"/>
    <w:rsid w:val="002F63B4"/>
    <w:rsid w:val="002F6A10"/>
    <w:rsid w:val="002F744C"/>
    <w:rsid w:val="002F7583"/>
    <w:rsid w:val="0030162C"/>
    <w:rsid w:val="00301CA0"/>
    <w:rsid w:val="00302ABF"/>
    <w:rsid w:val="00302E41"/>
    <w:rsid w:val="003031D1"/>
    <w:rsid w:val="003037F1"/>
    <w:rsid w:val="00303891"/>
    <w:rsid w:val="00304748"/>
    <w:rsid w:val="0030549A"/>
    <w:rsid w:val="0030595A"/>
    <w:rsid w:val="00306499"/>
    <w:rsid w:val="003067A8"/>
    <w:rsid w:val="00306976"/>
    <w:rsid w:val="00307FDD"/>
    <w:rsid w:val="00310F6A"/>
    <w:rsid w:val="0031108C"/>
    <w:rsid w:val="00311267"/>
    <w:rsid w:val="00312499"/>
    <w:rsid w:val="003126A4"/>
    <w:rsid w:val="003127BD"/>
    <w:rsid w:val="00313AAF"/>
    <w:rsid w:val="00313EEB"/>
    <w:rsid w:val="0031424E"/>
    <w:rsid w:val="0031484F"/>
    <w:rsid w:val="00315582"/>
    <w:rsid w:val="00315762"/>
    <w:rsid w:val="00315F13"/>
    <w:rsid w:val="0031653F"/>
    <w:rsid w:val="0031666C"/>
    <w:rsid w:val="00316AA4"/>
    <w:rsid w:val="003172D2"/>
    <w:rsid w:val="0031778A"/>
    <w:rsid w:val="00317EA6"/>
    <w:rsid w:val="003200A8"/>
    <w:rsid w:val="0032096C"/>
    <w:rsid w:val="00321051"/>
    <w:rsid w:val="00321E09"/>
    <w:rsid w:val="00322173"/>
    <w:rsid w:val="00322DFF"/>
    <w:rsid w:val="00323333"/>
    <w:rsid w:val="00323494"/>
    <w:rsid w:val="00323E2C"/>
    <w:rsid w:val="00324088"/>
    <w:rsid w:val="00324D94"/>
    <w:rsid w:val="003257F7"/>
    <w:rsid w:val="003258BC"/>
    <w:rsid w:val="00326344"/>
    <w:rsid w:val="00326430"/>
    <w:rsid w:val="0032688D"/>
    <w:rsid w:val="00327240"/>
    <w:rsid w:val="00327A22"/>
    <w:rsid w:val="00327B12"/>
    <w:rsid w:val="003321E8"/>
    <w:rsid w:val="003324B3"/>
    <w:rsid w:val="00332D79"/>
    <w:rsid w:val="00332D84"/>
    <w:rsid w:val="00333282"/>
    <w:rsid w:val="00333379"/>
    <w:rsid w:val="00334A94"/>
    <w:rsid w:val="003353D9"/>
    <w:rsid w:val="00335C46"/>
    <w:rsid w:val="00336E64"/>
    <w:rsid w:val="00337326"/>
    <w:rsid w:val="003403C0"/>
    <w:rsid w:val="00340989"/>
    <w:rsid w:val="00342D4C"/>
    <w:rsid w:val="003436A8"/>
    <w:rsid w:val="003438FF"/>
    <w:rsid w:val="00343ACC"/>
    <w:rsid w:val="00343E08"/>
    <w:rsid w:val="0034415F"/>
    <w:rsid w:val="00344267"/>
    <w:rsid w:val="0034461D"/>
    <w:rsid w:val="003447FB"/>
    <w:rsid w:val="003457BF"/>
    <w:rsid w:val="003464EF"/>
    <w:rsid w:val="00346A12"/>
    <w:rsid w:val="00346DF7"/>
    <w:rsid w:val="00346E79"/>
    <w:rsid w:val="003472C6"/>
    <w:rsid w:val="00347C60"/>
    <w:rsid w:val="00347DA7"/>
    <w:rsid w:val="00347EF7"/>
    <w:rsid w:val="0035050B"/>
    <w:rsid w:val="0035077D"/>
    <w:rsid w:val="003514CF"/>
    <w:rsid w:val="00351B11"/>
    <w:rsid w:val="00354AD4"/>
    <w:rsid w:val="003559DD"/>
    <w:rsid w:val="00355BAF"/>
    <w:rsid w:val="0035606C"/>
    <w:rsid w:val="00356436"/>
    <w:rsid w:val="003566BE"/>
    <w:rsid w:val="00357044"/>
    <w:rsid w:val="003576B2"/>
    <w:rsid w:val="003601DE"/>
    <w:rsid w:val="0036048B"/>
    <w:rsid w:val="00361B4B"/>
    <w:rsid w:val="00361CA8"/>
    <w:rsid w:val="0036226C"/>
    <w:rsid w:val="00362444"/>
    <w:rsid w:val="00362870"/>
    <w:rsid w:val="00363778"/>
    <w:rsid w:val="00363B84"/>
    <w:rsid w:val="00363F94"/>
    <w:rsid w:val="00364BF7"/>
    <w:rsid w:val="00364C49"/>
    <w:rsid w:val="00365214"/>
    <w:rsid w:val="0036546C"/>
    <w:rsid w:val="00365B1F"/>
    <w:rsid w:val="00365BBA"/>
    <w:rsid w:val="00365CF2"/>
    <w:rsid w:val="00366591"/>
    <w:rsid w:val="003706B0"/>
    <w:rsid w:val="00371F2D"/>
    <w:rsid w:val="0037214D"/>
    <w:rsid w:val="003722B3"/>
    <w:rsid w:val="0037380B"/>
    <w:rsid w:val="00373E7C"/>
    <w:rsid w:val="00374398"/>
    <w:rsid w:val="00374406"/>
    <w:rsid w:val="00374479"/>
    <w:rsid w:val="00374900"/>
    <w:rsid w:val="00374B92"/>
    <w:rsid w:val="00374BF6"/>
    <w:rsid w:val="00375D59"/>
    <w:rsid w:val="0037665A"/>
    <w:rsid w:val="00376A41"/>
    <w:rsid w:val="00376F46"/>
    <w:rsid w:val="00377DF7"/>
    <w:rsid w:val="00377FC0"/>
    <w:rsid w:val="0038058B"/>
    <w:rsid w:val="00380730"/>
    <w:rsid w:val="00382333"/>
    <w:rsid w:val="00383581"/>
    <w:rsid w:val="00383F4F"/>
    <w:rsid w:val="00384084"/>
    <w:rsid w:val="00384698"/>
    <w:rsid w:val="00384EC2"/>
    <w:rsid w:val="00385A50"/>
    <w:rsid w:val="00386440"/>
    <w:rsid w:val="0038682C"/>
    <w:rsid w:val="00390205"/>
    <w:rsid w:val="00390F8D"/>
    <w:rsid w:val="00391C6E"/>
    <w:rsid w:val="00392955"/>
    <w:rsid w:val="00392CD5"/>
    <w:rsid w:val="0039374C"/>
    <w:rsid w:val="00393D28"/>
    <w:rsid w:val="00393EF6"/>
    <w:rsid w:val="003941A4"/>
    <w:rsid w:val="0039454F"/>
    <w:rsid w:val="00394DEA"/>
    <w:rsid w:val="00395EC2"/>
    <w:rsid w:val="00396230"/>
    <w:rsid w:val="00397023"/>
    <w:rsid w:val="003A045C"/>
    <w:rsid w:val="003A21B0"/>
    <w:rsid w:val="003A29C4"/>
    <w:rsid w:val="003A31FC"/>
    <w:rsid w:val="003A3AC6"/>
    <w:rsid w:val="003A42D6"/>
    <w:rsid w:val="003A509A"/>
    <w:rsid w:val="003A5800"/>
    <w:rsid w:val="003A5E92"/>
    <w:rsid w:val="003A6203"/>
    <w:rsid w:val="003A6A99"/>
    <w:rsid w:val="003A7103"/>
    <w:rsid w:val="003A76AD"/>
    <w:rsid w:val="003A7F7E"/>
    <w:rsid w:val="003B01C3"/>
    <w:rsid w:val="003B0C84"/>
    <w:rsid w:val="003B1B34"/>
    <w:rsid w:val="003B360A"/>
    <w:rsid w:val="003B3BB7"/>
    <w:rsid w:val="003B4578"/>
    <w:rsid w:val="003B45BC"/>
    <w:rsid w:val="003B4FAC"/>
    <w:rsid w:val="003B6BE9"/>
    <w:rsid w:val="003B739B"/>
    <w:rsid w:val="003B7602"/>
    <w:rsid w:val="003B7A38"/>
    <w:rsid w:val="003B7E0D"/>
    <w:rsid w:val="003C0234"/>
    <w:rsid w:val="003C105C"/>
    <w:rsid w:val="003C1088"/>
    <w:rsid w:val="003C23C9"/>
    <w:rsid w:val="003C262F"/>
    <w:rsid w:val="003C30AC"/>
    <w:rsid w:val="003C3858"/>
    <w:rsid w:val="003C39C0"/>
    <w:rsid w:val="003C3AAB"/>
    <w:rsid w:val="003C41E9"/>
    <w:rsid w:val="003C4BC1"/>
    <w:rsid w:val="003C4CC8"/>
    <w:rsid w:val="003C4D36"/>
    <w:rsid w:val="003C5070"/>
    <w:rsid w:val="003C6302"/>
    <w:rsid w:val="003C65DA"/>
    <w:rsid w:val="003C675C"/>
    <w:rsid w:val="003C67C8"/>
    <w:rsid w:val="003C6CBB"/>
    <w:rsid w:val="003C6CE9"/>
    <w:rsid w:val="003C78C4"/>
    <w:rsid w:val="003C79CA"/>
    <w:rsid w:val="003D0014"/>
    <w:rsid w:val="003D04C5"/>
    <w:rsid w:val="003D063B"/>
    <w:rsid w:val="003D071A"/>
    <w:rsid w:val="003D0BEA"/>
    <w:rsid w:val="003D1FFD"/>
    <w:rsid w:val="003D2210"/>
    <w:rsid w:val="003D27AE"/>
    <w:rsid w:val="003D2DE7"/>
    <w:rsid w:val="003D2E1A"/>
    <w:rsid w:val="003D2FF8"/>
    <w:rsid w:val="003D35F9"/>
    <w:rsid w:val="003D365D"/>
    <w:rsid w:val="003D36CB"/>
    <w:rsid w:val="003D3BE0"/>
    <w:rsid w:val="003D3D4C"/>
    <w:rsid w:val="003D41E1"/>
    <w:rsid w:val="003D4E7C"/>
    <w:rsid w:val="003E0368"/>
    <w:rsid w:val="003E09DC"/>
    <w:rsid w:val="003E0BC0"/>
    <w:rsid w:val="003E1414"/>
    <w:rsid w:val="003E1856"/>
    <w:rsid w:val="003E1BF8"/>
    <w:rsid w:val="003E2934"/>
    <w:rsid w:val="003E36F9"/>
    <w:rsid w:val="003E379F"/>
    <w:rsid w:val="003E3CFE"/>
    <w:rsid w:val="003E4188"/>
    <w:rsid w:val="003E430D"/>
    <w:rsid w:val="003E485E"/>
    <w:rsid w:val="003E4D82"/>
    <w:rsid w:val="003E541C"/>
    <w:rsid w:val="003E579F"/>
    <w:rsid w:val="003E5A7D"/>
    <w:rsid w:val="003E6C40"/>
    <w:rsid w:val="003F2048"/>
    <w:rsid w:val="003F2391"/>
    <w:rsid w:val="003F287A"/>
    <w:rsid w:val="003F35EC"/>
    <w:rsid w:val="003F3668"/>
    <w:rsid w:val="003F442E"/>
    <w:rsid w:val="003F4DA0"/>
    <w:rsid w:val="003F5A8F"/>
    <w:rsid w:val="003F5B71"/>
    <w:rsid w:val="003F6CC6"/>
    <w:rsid w:val="003F72B2"/>
    <w:rsid w:val="00400A19"/>
    <w:rsid w:val="00400FFE"/>
    <w:rsid w:val="004019D0"/>
    <w:rsid w:val="00402BFC"/>
    <w:rsid w:val="0040307B"/>
    <w:rsid w:val="00403535"/>
    <w:rsid w:val="00403824"/>
    <w:rsid w:val="004043B2"/>
    <w:rsid w:val="00404DEF"/>
    <w:rsid w:val="00404F89"/>
    <w:rsid w:val="00405685"/>
    <w:rsid w:val="00405741"/>
    <w:rsid w:val="00405802"/>
    <w:rsid w:val="00405E82"/>
    <w:rsid w:val="004069E7"/>
    <w:rsid w:val="004073ED"/>
    <w:rsid w:val="004073F7"/>
    <w:rsid w:val="00407C6B"/>
    <w:rsid w:val="00407E74"/>
    <w:rsid w:val="0041047B"/>
    <w:rsid w:val="00410A9A"/>
    <w:rsid w:val="00411FC1"/>
    <w:rsid w:val="00412D1E"/>
    <w:rsid w:val="00412DD3"/>
    <w:rsid w:val="004138E1"/>
    <w:rsid w:val="0041396A"/>
    <w:rsid w:val="00413A71"/>
    <w:rsid w:val="00413DA6"/>
    <w:rsid w:val="00413FAA"/>
    <w:rsid w:val="00414097"/>
    <w:rsid w:val="00414515"/>
    <w:rsid w:val="00414B31"/>
    <w:rsid w:val="00415857"/>
    <w:rsid w:val="00415B48"/>
    <w:rsid w:val="00415ECE"/>
    <w:rsid w:val="00416098"/>
    <w:rsid w:val="00417387"/>
    <w:rsid w:val="00417E80"/>
    <w:rsid w:val="004215B8"/>
    <w:rsid w:val="00421999"/>
    <w:rsid w:val="00421E09"/>
    <w:rsid w:val="00423754"/>
    <w:rsid w:val="004239E2"/>
    <w:rsid w:val="00423EB6"/>
    <w:rsid w:val="0042428D"/>
    <w:rsid w:val="00424D5F"/>
    <w:rsid w:val="004251A8"/>
    <w:rsid w:val="00426B4D"/>
    <w:rsid w:val="0042776C"/>
    <w:rsid w:val="00427C68"/>
    <w:rsid w:val="00430E9F"/>
    <w:rsid w:val="004318D4"/>
    <w:rsid w:val="004319C2"/>
    <w:rsid w:val="004327B6"/>
    <w:rsid w:val="004332F3"/>
    <w:rsid w:val="0043336D"/>
    <w:rsid w:val="00433724"/>
    <w:rsid w:val="00433EA6"/>
    <w:rsid w:val="004353B5"/>
    <w:rsid w:val="00435763"/>
    <w:rsid w:val="0043606A"/>
    <w:rsid w:val="00436A8F"/>
    <w:rsid w:val="00437D06"/>
    <w:rsid w:val="004408DC"/>
    <w:rsid w:val="00440A18"/>
    <w:rsid w:val="00440AD4"/>
    <w:rsid w:val="00440DAD"/>
    <w:rsid w:val="00440EA5"/>
    <w:rsid w:val="00441052"/>
    <w:rsid w:val="004413D8"/>
    <w:rsid w:val="0044242D"/>
    <w:rsid w:val="00443127"/>
    <w:rsid w:val="00443184"/>
    <w:rsid w:val="00443EE0"/>
    <w:rsid w:val="0044448B"/>
    <w:rsid w:val="004449F7"/>
    <w:rsid w:val="00444B32"/>
    <w:rsid w:val="00444F7D"/>
    <w:rsid w:val="00445982"/>
    <w:rsid w:val="00450B62"/>
    <w:rsid w:val="0045126D"/>
    <w:rsid w:val="00451624"/>
    <w:rsid w:val="0045320D"/>
    <w:rsid w:val="0045345C"/>
    <w:rsid w:val="00453579"/>
    <w:rsid w:val="004538BF"/>
    <w:rsid w:val="00454234"/>
    <w:rsid w:val="004553C8"/>
    <w:rsid w:val="004557DD"/>
    <w:rsid w:val="004558E5"/>
    <w:rsid w:val="0045626B"/>
    <w:rsid w:val="004563B0"/>
    <w:rsid w:val="0045649E"/>
    <w:rsid w:val="00456884"/>
    <w:rsid w:val="004569F7"/>
    <w:rsid w:val="0045763F"/>
    <w:rsid w:val="004577D2"/>
    <w:rsid w:val="00457995"/>
    <w:rsid w:val="00461295"/>
    <w:rsid w:val="00461302"/>
    <w:rsid w:val="004615B2"/>
    <w:rsid w:val="004618A8"/>
    <w:rsid w:val="00463A88"/>
    <w:rsid w:val="00463DCB"/>
    <w:rsid w:val="00465203"/>
    <w:rsid w:val="004652AA"/>
    <w:rsid w:val="004655C0"/>
    <w:rsid w:val="00465F49"/>
    <w:rsid w:val="00466929"/>
    <w:rsid w:val="00467BD7"/>
    <w:rsid w:val="00467C13"/>
    <w:rsid w:val="00467F2A"/>
    <w:rsid w:val="00467FA8"/>
    <w:rsid w:val="00470F93"/>
    <w:rsid w:val="00471843"/>
    <w:rsid w:val="00471E1F"/>
    <w:rsid w:val="004727C1"/>
    <w:rsid w:val="00472920"/>
    <w:rsid w:val="00472B28"/>
    <w:rsid w:val="00473271"/>
    <w:rsid w:val="004746D6"/>
    <w:rsid w:val="0047486A"/>
    <w:rsid w:val="004749FD"/>
    <w:rsid w:val="00474DB4"/>
    <w:rsid w:val="00475DD0"/>
    <w:rsid w:val="0047605A"/>
    <w:rsid w:val="00476BFA"/>
    <w:rsid w:val="004771BB"/>
    <w:rsid w:val="00477222"/>
    <w:rsid w:val="00480222"/>
    <w:rsid w:val="00480675"/>
    <w:rsid w:val="00480F24"/>
    <w:rsid w:val="00482132"/>
    <w:rsid w:val="00484164"/>
    <w:rsid w:val="00484365"/>
    <w:rsid w:val="00484E2A"/>
    <w:rsid w:val="00486045"/>
    <w:rsid w:val="00486ACE"/>
    <w:rsid w:val="004873CE"/>
    <w:rsid w:val="00487AAF"/>
    <w:rsid w:val="00487EF7"/>
    <w:rsid w:val="00487F7D"/>
    <w:rsid w:val="0049317A"/>
    <w:rsid w:val="00493894"/>
    <w:rsid w:val="00493E2D"/>
    <w:rsid w:val="004941FB"/>
    <w:rsid w:val="0049467F"/>
    <w:rsid w:val="00494EC8"/>
    <w:rsid w:val="00495A2D"/>
    <w:rsid w:val="00495DA9"/>
    <w:rsid w:val="004968C7"/>
    <w:rsid w:val="00496D63"/>
    <w:rsid w:val="00496FE2"/>
    <w:rsid w:val="004972F9"/>
    <w:rsid w:val="004A0683"/>
    <w:rsid w:val="004A0722"/>
    <w:rsid w:val="004A101A"/>
    <w:rsid w:val="004A190E"/>
    <w:rsid w:val="004A1A65"/>
    <w:rsid w:val="004A2298"/>
    <w:rsid w:val="004A2A67"/>
    <w:rsid w:val="004A2E77"/>
    <w:rsid w:val="004A330A"/>
    <w:rsid w:val="004A3454"/>
    <w:rsid w:val="004A3911"/>
    <w:rsid w:val="004A3953"/>
    <w:rsid w:val="004A395C"/>
    <w:rsid w:val="004A398C"/>
    <w:rsid w:val="004A3F48"/>
    <w:rsid w:val="004A403E"/>
    <w:rsid w:val="004A4590"/>
    <w:rsid w:val="004A7168"/>
    <w:rsid w:val="004A777F"/>
    <w:rsid w:val="004B1941"/>
    <w:rsid w:val="004B1F67"/>
    <w:rsid w:val="004B2368"/>
    <w:rsid w:val="004B26A0"/>
    <w:rsid w:val="004B419A"/>
    <w:rsid w:val="004B42CA"/>
    <w:rsid w:val="004B49BA"/>
    <w:rsid w:val="004B4A3A"/>
    <w:rsid w:val="004B4F31"/>
    <w:rsid w:val="004B53F8"/>
    <w:rsid w:val="004B66D6"/>
    <w:rsid w:val="004C00D6"/>
    <w:rsid w:val="004C12B9"/>
    <w:rsid w:val="004C14FF"/>
    <w:rsid w:val="004C1BC9"/>
    <w:rsid w:val="004C20A0"/>
    <w:rsid w:val="004C217E"/>
    <w:rsid w:val="004C2509"/>
    <w:rsid w:val="004C2641"/>
    <w:rsid w:val="004C26D3"/>
    <w:rsid w:val="004C2D19"/>
    <w:rsid w:val="004C2E8C"/>
    <w:rsid w:val="004C2FE0"/>
    <w:rsid w:val="004C3EB8"/>
    <w:rsid w:val="004C3EC5"/>
    <w:rsid w:val="004C40FA"/>
    <w:rsid w:val="004C5304"/>
    <w:rsid w:val="004C5835"/>
    <w:rsid w:val="004C60FB"/>
    <w:rsid w:val="004C6632"/>
    <w:rsid w:val="004C6700"/>
    <w:rsid w:val="004C6878"/>
    <w:rsid w:val="004C6895"/>
    <w:rsid w:val="004C7577"/>
    <w:rsid w:val="004C7E57"/>
    <w:rsid w:val="004D0776"/>
    <w:rsid w:val="004D0905"/>
    <w:rsid w:val="004D0D9F"/>
    <w:rsid w:val="004D10E8"/>
    <w:rsid w:val="004D1997"/>
    <w:rsid w:val="004D227E"/>
    <w:rsid w:val="004D2284"/>
    <w:rsid w:val="004D27D5"/>
    <w:rsid w:val="004D316F"/>
    <w:rsid w:val="004D3236"/>
    <w:rsid w:val="004D3937"/>
    <w:rsid w:val="004D3C9C"/>
    <w:rsid w:val="004D47FD"/>
    <w:rsid w:val="004D4C93"/>
    <w:rsid w:val="004D629C"/>
    <w:rsid w:val="004D63DF"/>
    <w:rsid w:val="004D65F6"/>
    <w:rsid w:val="004D664F"/>
    <w:rsid w:val="004D706B"/>
    <w:rsid w:val="004D7354"/>
    <w:rsid w:val="004E0459"/>
    <w:rsid w:val="004E045A"/>
    <w:rsid w:val="004E07C7"/>
    <w:rsid w:val="004E0BA4"/>
    <w:rsid w:val="004E0BE6"/>
    <w:rsid w:val="004E1050"/>
    <w:rsid w:val="004E124A"/>
    <w:rsid w:val="004E146B"/>
    <w:rsid w:val="004E1870"/>
    <w:rsid w:val="004E1A9E"/>
    <w:rsid w:val="004E1CBC"/>
    <w:rsid w:val="004E1DA9"/>
    <w:rsid w:val="004E350F"/>
    <w:rsid w:val="004E3C47"/>
    <w:rsid w:val="004E4669"/>
    <w:rsid w:val="004E4BCD"/>
    <w:rsid w:val="004E4EB5"/>
    <w:rsid w:val="004E55D3"/>
    <w:rsid w:val="004E5CC3"/>
    <w:rsid w:val="004E5E01"/>
    <w:rsid w:val="004E64E4"/>
    <w:rsid w:val="004E6640"/>
    <w:rsid w:val="004E7953"/>
    <w:rsid w:val="004E7BDB"/>
    <w:rsid w:val="004E7E8B"/>
    <w:rsid w:val="004F0089"/>
    <w:rsid w:val="004F02C6"/>
    <w:rsid w:val="004F03DD"/>
    <w:rsid w:val="004F09A7"/>
    <w:rsid w:val="004F133A"/>
    <w:rsid w:val="004F15D6"/>
    <w:rsid w:val="004F1BFB"/>
    <w:rsid w:val="004F1CAC"/>
    <w:rsid w:val="004F1E55"/>
    <w:rsid w:val="004F2380"/>
    <w:rsid w:val="004F2F9D"/>
    <w:rsid w:val="004F33D7"/>
    <w:rsid w:val="004F6104"/>
    <w:rsid w:val="004F6FF9"/>
    <w:rsid w:val="004F71D7"/>
    <w:rsid w:val="004F7225"/>
    <w:rsid w:val="004F7ADE"/>
    <w:rsid w:val="004F7CDA"/>
    <w:rsid w:val="004F7D98"/>
    <w:rsid w:val="00500126"/>
    <w:rsid w:val="005001D3"/>
    <w:rsid w:val="00500806"/>
    <w:rsid w:val="0050088E"/>
    <w:rsid w:val="005009D2"/>
    <w:rsid w:val="00500CE0"/>
    <w:rsid w:val="00501287"/>
    <w:rsid w:val="005013F5"/>
    <w:rsid w:val="00501635"/>
    <w:rsid w:val="005028D1"/>
    <w:rsid w:val="00502D5B"/>
    <w:rsid w:val="00504436"/>
    <w:rsid w:val="0050472E"/>
    <w:rsid w:val="00504CC5"/>
    <w:rsid w:val="00505A22"/>
    <w:rsid w:val="00505FC6"/>
    <w:rsid w:val="005061E0"/>
    <w:rsid w:val="0050734B"/>
    <w:rsid w:val="0051029C"/>
    <w:rsid w:val="005115B9"/>
    <w:rsid w:val="0051181F"/>
    <w:rsid w:val="00511A52"/>
    <w:rsid w:val="00511AEF"/>
    <w:rsid w:val="00512CD8"/>
    <w:rsid w:val="00512FA4"/>
    <w:rsid w:val="0051406B"/>
    <w:rsid w:val="00514D45"/>
    <w:rsid w:val="0051510D"/>
    <w:rsid w:val="005157E6"/>
    <w:rsid w:val="00516550"/>
    <w:rsid w:val="005165C4"/>
    <w:rsid w:val="00516E88"/>
    <w:rsid w:val="00517856"/>
    <w:rsid w:val="0051786A"/>
    <w:rsid w:val="00520449"/>
    <w:rsid w:val="005205E8"/>
    <w:rsid w:val="00520A67"/>
    <w:rsid w:val="00520D50"/>
    <w:rsid w:val="00520D5D"/>
    <w:rsid w:val="00521C1B"/>
    <w:rsid w:val="00521D3E"/>
    <w:rsid w:val="00521E7A"/>
    <w:rsid w:val="00522543"/>
    <w:rsid w:val="0052255A"/>
    <w:rsid w:val="00522EE2"/>
    <w:rsid w:val="00523822"/>
    <w:rsid w:val="00523ACB"/>
    <w:rsid w:val="0052454D"/>
    <w:rsid w:val="0052501C"/>
    <w:rsid w:val="005250BE"/>
    <w:rsid w:val="0052584F"/>
    <w:rsid w:val="005258B9"/>
    <w:rsid w:val="005259DA"/>
    <w:rsid w:val="00526A24"/>
    <w:rsid w:val="00526A5E"/>
    <w:rsid w:val="0052731E"/>
    <w:rsid w:val="005300A6"/>
    <w:rsid w:val="00530476"/>
    <w:rsid w:val="00530CCC"/>
    <w:rsid w:val="005314AC"/>
    <w:rsid w:val="0053165C"/>
    <w:rsid w:val="00531723"/>
    <w:rsid w:val="00531940"/>
    <w:rsid w:val="00531E04"/>
    <w:rsid w:val="0053268C"/>
    <w:rsid w:val="005327EB"/>
    <w:rsid w:val="00532CCA"/>
    <w:rsid w:val="00532D2D"/>
    <w:rsid w:val="00533155"/>
    <w:rsid w:val="005348B5"/>
    <w:rsid w:val="00534B96"/>
    <w:rsid w:val="00534E72"/>
    <w:rsid w:val="00535535"/>
    <w:rsid w:val="00535690"/>
    <w:rsid w:val="00535F08"/>
    <w:rsid w:val="00537B90"/>
    <w:rsid w:val="00540995"/>
    <w:rsid w:val="00540C38"/>
    <w:rsid w:val="00541433"/>
    <w:rsid w:val="00541742"/>
    <w:rsid w:val="00541EB7"/>
    <w:rsid w:val="00541FA5"/>
    <w:rsid w:val="0054288B"/>
    <w:rsid w:val="00542CD6"/>
    <w:rsid w:val="00543131"/>
    <w:rsid w:val="00543455"/>
    <w:rsid w:val="005436C2"/>
    <w:rsid w:val="00543A2D"/>
    <w:rsid w:val="00544584"/>
    <w:rsid w:val="00546574"/>
    <w:rsid w:val="0054713A"/>
    <w:rsid w:val="00547720"/>
    <w:rsid w:val="00547753"/>
    <w:rsid w:val="005508EA"/>
    <w:rsid w:val="00550E7D"/>
    <w:rsid w:val="0055216D"/>
    <w:rsid w:val="00552803"/>
    <w:rsid w:val="005530CA"/>
    <w:rsid w:val="00553411"/>
    <w:rsid w:val="00553B68"/>
    <w:rsid w:val="00554501"/>
    <w:rsid w:val="0055473F"/>
    <w:rsid w:val="0055489A"/>
    <w:rsid w:val="00555419"/>
    <w:rsid w:val="00555F15"/>
    <w:rsid w:val="00556007"/>
    <w:rsid w:val="00556BC9"/>
    <w:rsid w:val="00556DEE"/>
    <w:rsid w:val="005574DC"/>
    <w:rsid w:val="0055791E"/>
    <w:rsid w:val="00557D1E"/>
    <w:rsid w:val="00557F18"/>
    <w:rsid w:val="0056000D"/>
    <w:rsid w:val="005602A7"/>
    <w:rsid w:val="0056062E"/>
    <w:rsid w:val="00560AD9"/>
    <w:rsid w:val="00560DCC"/>
    <w:rsid w:val="00560F47"/>
    <w:rsid w:val="005628EB"/>
    <w:rsid w:val="00562D70"/>
    <w:rsid w:val="00563152"/>
    <w:rsid w:val="00563167"/>
    <w:rsid w:val="00564419"/>
    <w:rsid w:val="0056464C"/>
    <w:rsid w:val="005651D3"/>
    <w:rsid w:val="00565A22"/>
    <w:rsid w:val="005661F2"/>
    <w:rsid w:val="0056633E"/>
    <w:rsid w:val="00566743"/>
    <w:rsid w:val="00566B64"/>
    <w:rsid w:val="0056752E"/>
    <w:rsid w:val="00570E72"/>
    <w:rsid w:val="0057148D"/>
    <w:rsid w:val="0057344A"/>
    <w:rsid w:val="00573478"/>
    <w:rsid w:val="00574901"/>
    <w:rsid w:val="00574CC4"/>
    <w:rsid w:val="00574EC7"/>
    <w:rsid w:val="00575D38"/>
    <w:rsid w:val="00575DCC"/>
    <w:rsid w:val="005764C8"/>
    <w:rsid w:val="005766EA"/>
    <w:rsid w:val="0057689E"/>
    <w:rsid w:val="00576C77"/>
    <w:rsid w:val="00577317"/>
    <w:rsid w:val="005778BF"/>
    <w:rsid w:val="00577E0E"/>
    <w:rsid w:val="00577F26"/>
    <w:rsid w:val="00580636"/>
    <w:rsid w:val="005808DD"/>
    <w:rsid w:val="005808F4"/>
    <w:rsid w:val="00580D21"/>
    <w:rsid w:val="005811F6"/>
    <w:rsid w:val="005812AA"/>
    <w:rsid w:val="005817E2"/>
    <w:rsid w:val="00581DC7"/>
    <w:rsid w:val="005823F8"/>
    <w:rsid w:val="00583741"/>
    <w:rsid w:val="0058386F"/>
    <w:rsid w:val="005839AE"/>
    <w:rsid w:val="00583AFD"/>
    <w:rsid w:val="00583E68"/>
    <w:rsid w:val="00584265"/>
    <w:rsid w:val="00584C05"/>
    <w:rsid w:val="005852C0"/>
    <w:rsid w:val="005852F0"/>
    <w:rsid w:val="005854C2"/>
    <w:rsid w:val="00585C6D"/>
    <w:rsid w:val="00587180"/>
    <w:rsid w:val="00587B6E"/>
    <w:rsid w:val="00587CC6"/>
    <w:rsid w:val="005915D4"/>
    <w:rsid w:val="0059184B"/>
    <w:rsid w:val="00591F29"/>
    <w:rsid w:val="0059342F"/>
    <w:rsid w:val="00593990"/>
    <w:rsid w:val="00593D24"/>
    <w:rsid w:val="00593D2F"/>
    <w:rsid w:val="005947EF"/>
    <w:rsid w:val="005949BC"/>
    <w:rsid w:val="0059760E"/>
    <w:rsid w:val="005A0640"/>
    <w:rsid w:val="005A095B"/>
    <w:rsid w:val="005A0ABF"/>
    <w:rsid w:val="005A1241"/>
    <w:rsid w:val="005A13A1"/>
    <w:rsid w:val="005A15FD"/>
    <w:rsid w:val="005A1B06"/>
    <w:rsid w:val="005A2564"/>
    <w:rsid w:val="005A3000"/>
    <w:rsid w:val="005A34C4"/>
    <w:rsid w:val="005A3B1E"/>
    <w:rsid w:val="005A4F17"/>
    <w:rsid w:val="005A50F8"/>
    <w:rsid w:val="005A5724"/>
    <w:rsid w:val="005A5919"/>
    <w:rsid w:val="005A5C7A"/>
    <w:rsid w:val="005A5CB2"/>
    <w:rsid w:val="005A611A"/>
    <w:rsid w:val="005A701F"/>
    <w:rsid w:val="005A743F"/>
    <w:rsid w:val="005A7A98"/>
    <w:rsid w:val="005A7F10"/>
    <w:rsid w:val="005B07AB"/>
    <w:rsid w:val="005B0B10"/>
    <w:rsid w:val="005B0E0F"/>
    <w:rsid w:val="005B206D"/>
    <w:rsid w:val="005B22A1"/>
    <w:rsid w:val="005B265C"/>
    <w:rsid w:val="005B2E98"/>
    <w:rsid w:val="005B3640"/>
    <w:rsid w:val="005B4971"/>
    <w:rsid w:val="005B52EF"/>
    <w:rsid w:val="005B53E2"/>
    <w:rsid w:val="005B5596"/>
    <w:rsid w:val="005B5C13"/>
    <w:rsid w:val="005B5E6E"/>
    <w:rsid w:val="005B6B49"/>
    <w:rsid w:val="005B6D3B"/>
    <w:rsid w:val="005B6F94"/>
    <w:rsid w:val="005B7133"/>
    <w:rsid w:val="005B778B"/>
    <w:rsid w:val="005B7F75"/>
    <w:rsid w:val="005C05A1"/>
    <w:rsid w:val="005C0ADF"/>
    <w:rsid w:val="005C0C87"/>
    <w:rsid w:val="005C0FAA"/>
    <w:rsid w:val="005C1003"/>
    <w:rsid w:val="005C1219"/>
    <w:rsid w:val="005C3704"/>
    <w:rsid w:val="005C3B15"/>
    <w:rsid w:val="005C4A84"/>
    <w:rsid w:val="005C5ABF"/>
    <w:rsid w:val="005C6264"/>
    <w:rsid w:val="005C6328"/>
    <w:rsid w:val="005C64B7"/>
    <w:rsid w:val="005C65A4"/>
    <w:rsid w:val="005C6777"/>
    <w:rsid w:val="005C6F80"/>
    <w:rsid w:val="005C7266"/>
    <w:rsid w:val="005D0D35"/>
    <w:rsid w:val="005D0F8C"/>
    <w:rsid w:val="005D1822"/>
    <w:rsid w:val="005D19B0"/>
    <w:rsid w:val="005D1A37"/>
    <w:rsid w:val="005D1DF6"/>
    <w:rsid w:val="005D1ED0"/>
    <w:rsid w:val="005D2F3D"/>
    <w:rsid w:val="005D3168"/>
    <w:rsid w:val="005D3995"/>
    <w:rsid w:val="005D3A63"/>
    <w:rsid w:val="005D3E87"/>
    <w:rsid w:val="005D51B9"/>
    <w:rsid w:val="005D6186"/>
    <w:rsid w:val="005D61C2"/>
    <w:rsid w:val="005D7287"/>
    <w:rsid w:val="005D7928"/>
    <w:rsid w:val="005D7DE1"/>
    <w:rsid w:val="005E007C"/>
    <w:rsid w:val="005E0287"/>
    <w:rsid w:val="005E0345"/>
    <w:rsid w:val="005E0771"/>
    <w:rsid w:val="005E0E70"/>
    <w:rsid w:val="005E12D0"/>
    <w:rsid w:val="005E1B3E"/>
    <w:rsid w:val="005E2D9B"/>
    <w:rsid w:val="005E2E06"/>
    <w:rsid w:val="005E4349"/>
    <w:rsid w:val="005E4933"/>
    <w:rsid w:val="005E5D58"/>
    <w:rsid w:val="005E68AA"/>
    <w:rsid w:val="005E715C"/>
    <w:rsid w:val="005E72D1"/>
    <w:rsid w:val="005E78F6"/>
    <w:rsid w:val="005F0BA8"/>
    <w:rsid w:val="005F0D27"/>
    <w:rsid w:val="005F1AAD"/>
    <w:rsid w:val="005F1C79"/>
    <w:rsid w:val="005F1D8B"/>
    <w:rsid w:val="005F27E8"/>
    <w:rsid w:val="005F2BA0"/>
    <w:rsid w:val="005F3468"/>
    <w:rsid w:val="005F3677"/>
    <w:rsid w:val="005F387F"/>
    <w:rsid w:val="005F4230"/>
    <w:rsid w:val="005F4863"/>
    <w:rsid w:val="005F4AA0"/>
    <w:rsid w:val="005F4F6A"/>
    <w:rsid w:val="005F5317"/>
    <w:rsid w:val="005F5494"/>
    <w:rsid w:val="005F55AF"/>
    <w:rsid w:val="005F6B51"/>
    <w:rsid w:val="005F7A84"/>
    <w:rsid w:val="00600D83"/>
    <w:rsid w:val="0060218F"/>
    <w:rsid w:val="0060221F"/>
    <w:rsid w:val="00602539"/>
    <w:rsid w:val="006039F5"/>
    <w:rsid w:val="00604A99"/>
    <w:rsid w:val="00604F1A"/>
    <w:rsid w:val="006052F9"/>
    <w:rsid w:val="0060582C"/>
    <w:rsid w:val="00605A46"/>
    <w:rsid w:val="00605D1D"/>
    <w:rsid w:val="00605D3A"/>
    <w:rsid w:val="00605E64"/>
    <w:rsid w:val="0060632D"/>
    <w:rsid w:val="0060689E"/>
    <w:rsid w:val="00606B04"/>
    <w:rsid w:val="00606B83"/>
    <w:rsid w:val="0060747B"/>
    <w:rsid w:val="00607EAB"/>
    <w:rsid w:val="00610499"/>
    <w:rsid w:val="006104EE"/>
    <w:rsid w:val="0061065A"/>
    <w:rsid w:val="00610765"/>
    <w:rsid w:val="00610790"/>
    <w:rsid w:val="00612698"/>
    <w:rsid w:val="00612D24"/>
    <w:rsid w:val="00613154"/>
    <w:rsid w:val="00614112"/>
    <w:rsid w:val="0061419F"/>
    <w:rsid w:val="006143A2"/>
    <w:rsid w:val="00614931"/>
    <w:rsid w:val="00614BDF"/>
    <w:rsid w:val="00614FEE"/>
    <w:rsid w:val="0061584A"/>
    <w:rsid w:val="00615D11"/>
    <w:rsid w:val="006169CA"/>
    <w:rsid w:val="00616A7B"/>
    <w:rsid w:val="0061729E"/>
    <w:rsid w:val="00617376"/>
    <w:rsid w:val="006178A2"/>
    <w:rsid w:val="006202FA"/>
    <w:rsid w:val="006209CD"/>
    <w:rsid w:val="00620E54"/>
    <w:rsid w:val="00621595"/>
    <w:rsid w:val="00621E3E"/>
    <w:rsid w:val="00622050"/>
    <w:rsid w:val="00622339"/>
    <w:rsid w:val="00622BF5"/>
    <w:rsid w:val="0062315B"/>
    <w:rsid w:val="006233BC"/>
    <w:rsid w:val="006236D9"/>
    <w:rsid w:val="00623EDA"/>
    <w:rsid w:val="00624938"/>
    <w:rsid w:val="00624A65"/>
    <w:rsid w:val="00624FDE"/>
    <w:rsid w:val="0062597E"/>
    <w:rsid w:val="00626525"/>
    <w:rsid w:val="006269DF"/>
    <w:rsid w:val="00626A01"/>
    <w:rsid w:val="006275AB"/>
    <w:rsid w:val="0062768B"/>
    <w:rsid w:val="00627B10"/>
    <w:rsid w:val="006305FC"/>
    <w:rsid w:val="0063082C"/>
    <w:rsid w:val="00630F1F"/>
    <w:rsid w:val="0063123D"/>
    <w:rsid w:val="006312A9"/>
    <w:rsid w:val="00632C52"/>
    <w:rsid w:val="00633C54"/>
    <w:rsid w:val="00634641"/>
    <w:rsid w:val="00634AFD"/>
    <w:rsid w:val="00635BD0"/>
    <w:rsid w:val="00636614"/>
    <w:rsid w:val="006367F4"/>
    <w:rsid w:val="00636DFE"/>
    <w:rsid w:val="00636F57"/>
    <w:rsid w:val="006370CC"/>
    <w:rsid w:val="00637442"/>
    <w:rsid w:val="0063779E"/>
    <w:rsid w:val="00637BDE"/>
    <w:rsid w:val="00637D1B"/>
    <w:rsid w:val="00640C9E"/>
    <w:rsid w:val="00640CA8"/>
    <w:rsid w:val="00641356"/>
    <w:rsid w:val="006423FB"/>
    <w:rsid w:val="006427B8"/>
    <w:rsid w:val="0064289B"/>
    <w:rsid w:val="006432B4"/>
    <w:rsid w:val="00644147"/>
    <w:rsid w:val="006441BB"/>
    <w:rsid w:val="006443DA"/>
    <w:rsid w:val="006444D9"/>
    <w:rsid w:val="00644746"/>
    <w:rsid w:val="006448B2"/>
    <w:rsid w:val="006450A4"/>
    <w:rsid w:val="00645180"/>
    <w:rsid w:val="00645288"/>
    <w:rsid w:val="00646912"/>
    <w:rsid w:val="00647824"/>
    <w:rsid w:val="00647A7F"/>
    <w:rsid w:val="006502C3"/>
    <w:rsid w:val="0065043F"/>
    <w:rsid w:val="006507E4"/>
    <w:rsid w:val="00650818"/>
    <w:rsid w:val="0065145C"/>
    <w:rsid w:val="0065215B"/>
    <w:rsid w:val="00652B07"/>
    <w:rsid w:val="006537DB"/>
    <w:rsid w:val="00654097"/>
    <w:rsid w:val="0065499A"/>
    <w:rsid w:val="00654E60"/>
    <w:rsid w:val="00655257"/>
    <w:rsid w:val="00655C85"/>
    <w:rsid w:val="006560EE"/>
    <w:rsid w:val="0065617D"/>
    <w:rsid w:val="00656BC0"/>
    <w:rsid w:val="00656C04"/>
    <w:rsid w:val="006602B2"/>
    <w:rsid w:val="006607F7"/>
    <w:rsid w:val="00660AD8"/>
    <w:rsid w:val="00660FD4"/>
    <w:rsid w:val="00661076"/>
    <w:rsid w:val="006611E3"/>
    <w:rsid w:val="0066133E"/>
    <w:rsid w:val="00663E26"/>
    <w:rsid w:val="006643B3"/>
    <w:rsid w:val="00664E4F"/>
    <w:rsid w:val="006651AD"/>
    <w:rsid w:val="006651E7"/>
    <w:rsid w:val="00666C85"/>
    <w:rsid w:val="0066778D"/>
    <w:rsid w:val="006679C1"/>
    <w:rsid w:val="00667B8C"/>
    <w:rsid w:val="00670145"/>
    <w:rsid w:val="00670A76"/>
    <w:rsid w:val="00670FE7"/>
    <w:rsid w:val="00673911"/>
    <w:rsid w:val="00673C4F"/>
    <w:rsid w:val="0067419C"/>
    <w:rsid w:val="00674265"/>
    <w:rsid w:val="006747C5"/>
    <w:rsid w:val="0067520C"/>
    <w:rsid w:val="0067532C"/>
    <w:rsid w:val="00675506"/>
    <w:rsid w:val="00675B05"/>
    <w:rsid w:val="0067622A"/>
    <w:rsid w:val="00676A30"/>
    <w:rsid w:val="00676B75"/>
    <w:rsid w:val="00677599"/>
    <w:rsid w:val="00677979"/>
    <w:rsid w:val="00681998"/>
    <w:rsid w:val="00681C96"/>
    <w:rsid w:val="006829DC"/>
    <w:rsid w:val="0068305E"/>
    <w:rsid w:val="006831A9"/>
    <w:rsid w:val="006834DC"/>
    <w:rsid w:val="00683580"/>
    <w:rsid w:val="006837E8"/>
    <w:rsid w:val="00683B1E"/>
    <w:rsid w:val="006840D6"/>
    <w:rsid w:val="00684207"/>
    <w:rsid w:val="00684423"/>
    <w:rsid w:val="00684C15"/>
    <w:rsid w:val="0068693F"/>
    <w:rsid w:val="00686B6A"/>
    <w:rsid w:val="00686F12"/>
    <w:rsid w:val="00687052"/>
    <w:rsid w:val="00687176"/>
    <w:rsid w:val="00687376"/>
    <w:rsid w:val="00687A4F"/>
    <w:rsid w:val="00687BF1"/>
    <w:rsid w:val="006901B7"/>
    <w:rsid w:val="00690746"/>
    <w:rsid w:val="00690C36"/>
    <w:rsid w:val="0069107D"/>
    <w:rsid w:val="00692488"/>
    <w:rsid w:val="00692D80"/>
    <w:rsid w:val="006936CA"/>
    <w:rsid w:val="00693859"/>
    <w:rsid w:val="00693A6A"/>
    <w:rsid w:val="0069491D"/>
    <w:rsid w:val="00694A7A"/>
    <w:rsid w:val="00695299"/>
    <w:rsid w:val="006955AE"/>
    <w:rsid w:val="00696A1B"/>
    <w:rsid w:val="00696DA4"/>
    <w:rsid w:val="00697C91"/>
    <w:rsid w:val="00697D52"/>
    <w:rsid w:val="006A00FD"/>
    <w:rsid w:val="006A023A"/>
    <w:rsid w:val="006A0C67"/>
    <w:rsid w:val="006A24EC"/>
    <w:rsid w:val="006A406F"/>
    <w:rsid w:val="006A45B1"/>
    <w:rsid w:val="006A5398"/>
    <w:rsid w:val="006A554F"/>
    <w:rsid w:val="006A75B3"/>
    <w:rsid w:val="006A779E"/>
    <w:rsid w:val="006A791B"/>
    <w:rsid w:val="006A7927"/>
    <w:rsid w:val="006A7E52"/>
    <w:rsid w:val="006B0487"/>
    <w:rsid w:val="006B067E"/>
    <w:rsid w:val="006B2104"/>
    <w:rsid w:val="006B2224"/>
    <w:rsid w:val="006B2ECC"/>
    <w:rsid w:val="006B3188"/>
    <w:rsid w:val="006B3C1D"/>
    <w:rsid w:val="006B3E11"/>
    <w:rsid w:val="006B47C4"/>
    <w:rsid w:val="006B4B4D"/>
    <w:rsid w:val="006B4BD3"/>
    <w:rsid w:val="006B53FE"/>
    <w:rsid w:val="006B6187"/>
    <w:rsid w:val="006B6213"/>
    <w:rsid w:val="006B63BC"/>
    <w:rsid w:val="006B644C"/>
    <w:rsid w:val="006B6BF7"/>
    <w:rsid w:val="006B730E"/>
    <w:rsid w:val="006B7E93"/>
    <w:rsid w:val="006B7F07"/>
    <w:rsid w:val="006C064E"/>
    <w:rsid w:val="006C069E"/>
    <w:rsid w:val="006C08DD"/>
    <w:rsid w:val="006C0996"/>
    <w:rsid w:val="006C0BBF"/>
    <w:rsid w:val="006C2445"/>
    <w:rsid w:val="006C30AA"/>
    <w:rsid w:val="006C367E"/>
    <w:rsid w:val="006C3ECA"/>
    <w:rsid w:val="006C5484"/>
    <w:rsid w:val="006C58E0"/>
    <w:rsid w:val="006C5A0D"/>
    <w:rsid w:val="006C662B"/>
    <w:rsid w:val="006C673C"/>
    <w:rsid w:val="006C7761"/>
    <w:rsid w:val="006C7836"/>
    <w:rsid w:val="006C78C3"/>
    <w:rsid w:val="006C7E7C"/>
    <w:rsid w:val="006D0215"/>
    <w:rsid w:val="006D0370"/>
    <w:rsid w:val="006D250D"/>
    <w:rsid w:val="006D3A77"/>
    <w:rsid w:val="006D3B25"/>
    <w:rsid w:val="006D3DA6"/>
    <w:rsid w:val="006D42C7"/>
    <w:rsid w:val="006D4A5F"/>
    <w:rsid w:val="006D4EEC"/>
    <w:rsid w:val="006D62C4"/>
    <w:rsid w:val="006D68FB"/>
    <w:rsid w:val="006D6B26"/>
    <w:rsid w:val="006D7973"/>
    <w:rsid w:val="006E08EC"/>
    <w:rsid w:val="006E1109"/>
    <w:rsid w:val="006E24EC"/>
    <w:rsid w:val="006E2DB3"/>
    <w:rsid w:val="006E2F31"/>
    <w:rsid w:val="006E34D1"/>
    <w:rsid w:val="006E367D"/>
    <w:rsid w:val="006E4CBB"/>
    <w:rsid w:val="006E64FA"/>
    <w:rsid w:val="006E6556"/>
    <w:rsid w:val="006E6895"/>
    <w:rsid w:val="006E6E2B"/>
    <w:rsid w:val="006E7471"/>
    <w:rsid w:val="006E79D3"/>
    <w:rsid w:val="006E7BC9"/>
    <w:rsid w:val="006E7EEF"/>
    <w:rsid w:val="006F0561"/>
    <w:rsid w:val="006F0673"/>
    <w:rsid w:val="006F1688"/>
    <w:rsid w:val="006F1EEB"/>
    <w:rsid w:val="006F2071"/>
    <w:rsid w:val="006F24DA"/>
    <w:rsid w:val="006F40D3"/>
    <w:rsid w:val="006F621C"/>
    <w:rsid w:val="00700751"/>
    <w:rsid w:val="00700A8F"/>
    <w:rsid w:val="00700C3D"/>
    <w:rsid w:val="00701C8B"/>
    <w:rsid w:val="00702F46"/>
    <w:rsid w:val="00703473"/>
    <w:rsid w:val="0070359D"/>
    <w:rsid w:val="00703876"/>
    <w:rsid w:val="00703C83"/>
    <w:rsid w:val="0070443A"/>
    <w:rsid w:val="00704470"/>
    <w:rsid w:val="00704BA0"/>
    <w:rsid w:val="00704E54"/>
    <w:rsid w:val="007058F0"/>
    <w:rsid w:val="0070591A"/>
    <w:rsid w:val="0070662B"/>
    <w:rsid w:val="007068DF"/>
    <w:rsid w:val="007071B8"/>
    <w:rsid w:val="0070770E"/>
    <w:rsid w:val="0071029C"/>
    <w:rsid w:val="00710A35"/>
    <w:rsid w:val="00710D2E"/>
    <w:rsid w:val="00711475"/>
    <w:rsid w:val="007129E8"/>
    <w:rsid w:val="00712BEE"/>
    <w:rsid w:val="0071343E"/>
    <w:rsid w:val="00713786"/>
    <w:rsid w:val="00713DDC"/>
    <w:rsid w:val="007151CF"/>
    <w:rsid w:val="007152F2"/>
    <w:rsid w:val="007157D6"/>
    <w:rsid w:val="00715CAA"/>
    <w:rsid w:val="00716A19"/>
    <w:rsid w:val="00716EF7"/>
    <w:rsid w:val="00716F9F"/>
    <w:rsid w:val="00717B33"/>
    <w:rsid w:val="00717C09"/>
    <w:rsid w:val="00717E2D"/>
    <w:rsid w:val="0072025D"/>
    <w:rsid w:val="00721962"/>
    <w:rsid w:val="00721C6B"/>
    <w:rsid w:val="007221D5"/>
    <w:rsid w:val="00722253"/>
    <w:rsid w:val="0072247E"/>
    <w:rsid w:val="00722A90"/>
    <w:rsid w:val="00723880"/>
    <w:rsid w:val="0072421D"/>
    <w:rsid w:val="00726438"/>
    <w:rsid w:val="00726564"/>
    <w:rsid w:val="00726660"/>
    <w:rsid w:val="00727973"/>
    <w:rsid w:val="00727B15"/>
    <w:rsid w:val="00727B5C"/>
    <w:rsid w:val="00727D10"/>
    <w:rsid w:val="00730E14"/>
    <w:rsid w:val="00730FB1"/>
    <w:rsid w:val="007314F0"/>
    <w:rsid w:val="00731CA9"/>
    <w:rsid w:val="00731FAA"/>
    <w:rsid w:val="00732632"/>
    <w:rsid w:val="00732D63"/>
    <w:rsid w:val="007339CE"/>
    <w:rsid w:val="00734BF3"/>
    <w:rsid w:val="00734FC3"/>
    <w:rsid w:val="00735204"/>
    <w:rsid w:val="00736BCF"/>
    <w:rsid w:val="007370D6"/>
    <w:rsid w:val="007402D7"/>
    <w:rsid w:val="0074112D"/>
    <w:rsid w:val="00741970"/>
    <w:rsid w:val="00741FCF"/>
    <w:rsid w:val="00742A4F"/>
    <w:rsid w:val="00742C1B"/>
    <w:rsid w:val="00742E10"/>
    <w:rsid w:val="00742ED8"/>
    <w:rsid w:val="00743B10"/>
    <w:rsid w:val="0074499A"/>
    <w:rsid w:val="007453E3"/>
    <w:rsid w:val="007459DB"/>
    <w:rsid w:val="00745C3F"/>
    <w:rsid w:val="007465DA"/>
    <w:rsid w:val="007469E5"/>
    <w:rsid w:val="00746CAA"/>
    <w:rsid w:val="00747186"/>
    <w:rsid w:val="0074725D"/>
    <w:rsid w:val="00747803"/>
    <w:rsid w:val="00747BEF"/>
    <w:rsid w:val="00747E89"/>
    <w:rsid w:val="00750215"/>
    <w:rsid w:val="00750B6E"/>
    <w:rsid w:val="00750C1D"/>
    <w:rsid w:val="00750E01"/>
    <w:rsid w:val="00751406"/>
    <w:rsid w:val="00751A8A"/>
    <w:rsid w:val="00751F2B"/>
    <w:rsid w:val="0075241B"/>
    <w:rsid w:val="0075321F"/>
    <w:rsid w:val="00754356"/>
    <w:rsid w:val="007552A7"/>
    <w:rsid w:val="00756121"/>
    <w:rsid w:val="0075645F"/>
    <w:rsid w:val="0075778D"/>
    <w:rsid w:val="00760DE1"/>
    <w:rsid w:val="00760F24"/>
    <w:rsid w:val="007613F9"/>
    <w:rsid w:val="00761B4D"/>
    <w:rsid w:val="00761C5E"/>
    <w:rsid w:val="00761F9E"/>
    <w:rsid w:val="007629EE"/>
    <w:rsid w:val="00763154"/>
    <w:rsid w:val="00763357"/>
    <w:rsid w:val="007639EB"/>
    <w:rsid w:val="00763F4F"/>
    <w:rsid w:val="007640ED"/>
    <w:rsid w:val="007641FF"/>
    <w:rsid w:val="007645AD"/>
    <w:rsid w:val="00764BD3"/>
    <w:rsid w:val="0076533C"/>
    <w:rsid w:val="007654A2"/>
    <w:rsid w:val="007656A6"/>
    <w:rsid w:val="00765A39"/>
    <w:rsid w:val="00766F38"/>
    <w:rsid w:val="00767136"/>
    <w:rsid w:val="007673F9"/>
    <w:rsid w:val="00770269"/>
    <w:rsid w:val="00770A8C"/>
    <w:rsid w:val="00770AD0"/>
    <w:rsid w:val="0077130D"/>
    <w:rsid w:val="0077185C"/>
    <w:rsid w:val="007723A1"/>
    <w:rsid w:val="007725CA"/>
    <w:rsid w:val="00772AF9"/>
    <w:rsid w:val="007731CF"/>
    <w:rsid w:val="00773BB4"/>
    <w:rsid w:val="00773FF3"/>
    <w:rsid w:val="007740C2"/>
    <w:rsid w:val="007747B5"/>
    <w:rsid w:val="00774912"/>
    <w:rsid w:val="00776EDD"/>
    <w:rsid w:val="007772B0"/>
    <w:rsid w:val="00780711"/>
    <w:rsid w:val="00780AAB"/>
    <w:rsid w:val="00780E44"/>
    <w:rsid w:val="007812C5"/>
    <w:rsid w:val="00782249"/>
    <w:rsid w:val="00782295"/>
    <w:rsid w:val="007822B8"/>
    <w:rsid w:val="00785982"/>
    <w:rsid w:val="00786108"/>
    <w:rsid w:val="0078642D"/>
    <w:rsid w:val="0078684A"/>
    <w:rsid w:val="007905BB"/>
    <w:rsid w:val="00792D09"/>
    <w:rsid w:val="007933BB"/>
    <w:rsid w:val="007933F8"/>
    <w:rsid w:val="0079449C"/>
    <w:rsid w:val="007949DE"/>
    <w:rsid w:val="00794AF3"/>
    <w:rsid w:val="00795C36"/>
    <w:rsid w:val="007960E2"/>
    <w:rsid w:val="00796F7D"/>
    <w:rsid w:val="00797BA5"/>
    <w:rsid w:val="007A02B6"/>
    <w:rsid w:val="007A04E3"/>
    <w:rsid w:val="007A0912"/>
    <w:rsid w:val="007A136F"/>
    <w:rsid w:val="007A1865"/>
    <w:rsid w:val="007A1A67"/>
    <w:rsid w:val="007A3259"/>
    <w:rsid w:val="007A36E4"/>
    <w:rsid w:val="007A5C34"/>
    <w:rsid w:val="007A6069"/>
    <w:rsid w:val="007A6456"/>
    <w:rsid w:val="007A6906"/>
    <w:rsid w:val="007A6B09"/>
    <w:rsid w:val="007A7258"/>
    <w:rsid w:val="007A7306"/>
    <w:rsid w:val="007B0488"/>
    <w:rsid w:val="007B05B9"/>
    <w:rsid w:val="007B0E42"/>
    <w:rsid w:val="007B0FE2"/>
    <w:rsid w:val="007B106B"/>
    <w:rsid w:val="007B1633"/>
    <w:rsid w:val="007B1F27"/>
    <w:rsid w:val="007B36F7"/>
    <w:rsid w:val="007B458E"/>
    <w:rsid w:val="007B4CCB"/>
    <w:rsid w:val="007B522F"/>
    <w:rsid w:val="007B5601"/>
    <w:rsid w:val="007B64A7"/>
    <w:rsid w:val="007B65A8"/>
    <w:rsid w:val="007B7101"/>
    <w:rsid w:val="007B71CC"/>
    <w:rsid w:val="007C019C"/>
    <w:rsid w:val="007C032B"/>
    <w:rsid w:val="007C03CE"/>
    <w:rsid w:val="007C03D3"/>
    <w:rsid w:val="007C042A"/>
    <w:rsid w:val="007C1AC7"/>
    <w:rsid w:val="007C28F4"/>
    <w:rsid w:val="007C31C0"/>
    <w:rsid w:val="007C31F5"/>
    <w:rsid w:val="007C3DF5"/>
    <w:rsid w:val="007C48E0"/>
    <w:rsid w:val="007C4A84"/>
    <w:rsid w:val="007C5EAD"/>
    <w:rsid w:val="007C6367"/>
    <w:rsid w:val="007D0174"/>
    <w:rsid w:val="007D0365"/>
    <w:rsid w:val="007D08D0"/>
    <w:rsid w:val="007D0D32"/>
    <w:rsid w:val="007D1462"/>
    <w:rsid w:val="007D18BE"/>
    <w:rsid w:val="007D2ED9"/>
    <w:rsid w:val="007D3566"/>
    <w:rsid w:val="007D3A85"/>
    <w:rsid w:val="007D3F96"/>
    <w:rsid w:val="007D4138"/>
    <w:rsid w:val="007D4B1D"/>
    <w:rsid w:val="007D51B3"/>
    <w:rsid w:val="007D51B9"/>
    <w:rsid w:val="007D5381"/>
    <w:rsid w:val="007D583D"/>
    <w:rsid w:val="007D5CEC"/>
    <w:rsid w:val="007D5F7C"/>
    <w:rsid w:val="007D61F1"/>
    <w:rsid w:val="007D62E0"/>
    <w:rsid w:val="007D691E"/>
    <w:rsid w:val="007D6AC0"/>
    <w:rsid w:val="007D6BED"/>
    <w:rsid w:val="007D7373"/>
    <w:rsid w:val="007D77A8"/>
    <w:rsid w:val="007D7C3C"/>
    <w:rsid w:val="007E09B1"/>
    <w:rsid w:val="007E0A27"/>
    <w:rsid w:val="007E152B"/>
    <w:rsid w:val="007E1559"/>
    <w:rsid w:val="007E1682"/>
    <w:rsid w:val="007E3124"/>
    <w:rsid w:val="007E361A"/>
    <w:rsid w:val="007E3EDE"/>
    <w:rsid w:val="007E41E6"/>
    <w:rsid w:val="007E50BB"/>
    <w:rsid w:val="007E5320"/>
    <w:rsid w:val="007E6667"/>
    <w:rsid w:val="007E75A0"/>
    <w:rsid w:val="007E798A"/>
    <w:rsid w:val="007E7BD4"/>
    <w:rsid w:val="007E7D6A"/>
    <w:rsid w:val="007F05C3"/>
    <w:rsid w:val="007F0851"/>
    <w:rsid w:val="007F0DA2"/>
    <w:rsid w:val="007F0E00"/>
    <w:rsid w:val="007F1070"/>
    <w:rsid w:val="007F12FE"/>
    <w:rsid w:val="007F1520"/>
    <w:rsid w:val="007F1961"/>
    <w:rsid w:val="007F1993"/>
    <w:rsid w:val="007F2912"/>
    <w:rsid w:val="007F2975"/>
    <w:rsid w:val="007F33F5"/>
    <w:rsid w:val="007F3A05"/>
    <w:rsid w:val="007F40C9"/>
    <w:rsid w:val="007F4E20"/>
    <w:rsid w:val="007F52D3"/>
    <w:rsid w:val="007F5313"/>
    <w:rsid w:val="007F5A2B"/>
    <w:rsid w:val="007F5EBE"/>
    <w:rsid w:val="007F6877"/>
    <w:rsid w:val="007F7059"/>
    <w:rsid w:val="007F7061"/>
    <w:rsid w:val="007F72EC"/>
    <w:rsid w:val="0080043F"/>
    <w:rsid w:val="0080183A"/>
    <w:rsid w:val="00801DD9"/>
    <w:rsid w:val="00802233"/>
    <w:rsid w:val="008028E8"/>
    <w:rsid w:val="00803376"/>
    <w:rsid w:val="00804EF0"/>
    <w:rsid w:val="00805B0D"/>
    <w:rsid w:val="00805C89"/>
    <w:rsid w:val="00806049"/>
    <w:rsid w:val="00806460"/>
    <w:rsid w:val="00806551"/>
    <w:rsid w:val="008065A7"/>
    <w:rsid w:val="0080706F"/>
    <w:rsid w:val="008106DE"/>
    <w:rsid w:val="00810A4C"/>
    <w:rsid w:val="008117BB"/>
    <w:rsid w:val="00811B53"/>
    <w:rsid w:val="0081206A"/>
    <w:rsid w:val="00812A77"/>
    <w:rsid w:val="00813682"/>
    <w:rsid w:val="00813FDB"/>
    <w:rsid w:val="008144C4"/>
    <w:rsid w:val="00814A91"/>
    <w:rsid w:val="0081516C"/>
    <w:rsid w:val="0081521B"/>
    <w:rsid w:val="0081595D"/>
    <w:rsid w:val="0081598E"/>
    <w:rsid w:val="008162C9"/>
    <w:rsid w:val="0081653C"/>
    <w:rsid w:val="0081673F"/>
    <w:rsid w:val="00816895"/>
    <w:rsid w:val="008170AC"/>
    <w:rsid w:val="008174AD"/>
    <w:rsid w:val="00817733"/>
    <w:rsid w:val="00817C2B"/>
    <w:rsid w:val="0082039A"/>
    <w:rsid w:val="0082042D"/>
    <w:rsid w:val="008204BD"/>
    <w:rsid w:val="00820BB8"/>
    <w:rsid w:val="0082104D"/>
    <w:rsid w:val="00821801"/>
    <w:rsid w:val="00821EEC"/>
    <w:rsid w:val="00821FE2"/>
    <w:rsid w:val="008223C4"/>
    <w:rsid w:val="008223DA"/>
    <w:rsid w:val="00822514"/>
    <w:rsid w:val="008225AA"/>
    <w:rsid w:val="00822ECB"/>
    <w:rsid w:val="0082349A"/>
    <w:rsid w:val="008235C4"/>
    <w:rsid w:val="008261C8"/>
    <w:rsid w:val="0082621A"/>
    <w:rsid w:val="008272DC"/>
    <w:rsid w:val="00827958"/>
    <w:rsid w:val="00827DD7"/>
    <w:rsid w:val="00830152"/>
    <w:rsid w:val="00830733"/>
    <w:rsid w:val="00830D03"/>
    <w:rsid w:val="00830E6F"/>
    <w:rsid w:val="0083154E"/>
    <w:rsid w:val="00831E4C"/>
    <w:rsid w:val="00832E57"/>
    <w:rsid w:val="00834007"/>
    <w:rsid w:val="00834557"/>
    <w:rsid w:val="008345D0"/>
    <w:rsid w:val="00834E8D"/>
    <w:rsid w:val="00835394"/>
    <w:rsid w:val="008358EF"/>
    <w:rsid w:val="008360E3"/>
    <w:rsid w:val="008369EB"/>
    <w:rsid w:val="00837458"/>
    <w:rsid w:val="00837F78"/>
    <w:rsid w:val="008403C2"/>
    <w:rsid w:val="00840D7A"/>
    <w:rsid w:val="00841477"/>
    <w:rsid w:val="008415A9"/>
    <w:rsid w:val="008418C5"/>
    <w:rsid w:val="0084249A"/>
    <w:rsid w:val="008424F8"/>
    <w:rsid w:val="00845515"/>
    <w:rsid w:val="0084563D"/>
    <w:rsid w:val="00846569"/>
    <w:rsid w:val="00846952"/>
    <w:rsid w:val="00846DAC"/>
    <w:rsid w:val="00850236"/>
    <w:rsid w:val="00850423"/>
    <w:rsid w:val="00850929"/>
    <w:rsid w:val="008510CC"/>
    <w:rsid w:val="00851A91"/>
    <w:rsid w:val="00851FAE"/>
    <w:rsid w:val="008521F1"/>
    <w:rsid w:val="00852320"/>
    <w:rsid w:val="008526D5"/>
    <w:rsid w:val="00852B38"/>
    <w:rsid w:val="00853273"/>
    <w:rsid w:val="00853733"/>
    <w:rsid w:val="00854394"/>
    <w:rsid w:val="008549BC"/>
    <w:rsid w:val="00854D8C"/>
    <w:rsid w:val="00854F41"/>
    <w:rsid w:val="00854F47"/>
    <w:rsid w:val="008560B0"/>
    <w:rsid w:val="00856243"/>
    <w:rsid w:val="0085626C"/>
    <w:rsid w:val="008570DD"/>
    <w:rsid w:val="008579BA"/>
    <w:rsid w:val="00861CD0"/>
    <w:rsid w:val="008632E6"/>
    <w:rsid w:val="008644AE"/>
    <w:rsid w:val="00864652"/>
    <w:rsid w:val="00865204"/>
    <w:rsid w:val="008657B5"/>
    <w:rsid w:val="00865A60"/>
    <w:rsid w:val="008672D7"/>
    <w:rsid w:val="00870308"/>
    <w:rsid w:val="0087088E"/>
    <w:rsid w:val="00870B4F"/>
    <w:rsid w:val="00870B91"/>
    <w:rsid w:val="00871568"/>
    <w:rsid w:val="00871C73"/>
    <w:rsid w:val="008720F9"/>
    <w:rsid w:val="00872740"/>
    <w:rsid w:val="008740AB"/>
    <w:rsid w:val="00874F4D"/>
    <w:rsid w:val="00875725"/>
    <w:rsid w:val="00875BA7"/>
    <w:rsid w:val="0087600F"/>
    <w:rsid w:val="0087609C"/>
    <w:rsid w:val="008762DB"/>
    <w:rsid w:val="00876999"/>
    <w:rsid w:val="008771A7"/>
    <w:rsid w:val="00877296"/>
    <w:rsid w:val="008778A1"/>
    <w:rsid w:val="00877B31"/>
    <w:rsid w:val="00877CB4"/>
    <w:rsid w:val="008821C0"/>
    <w:rsid w:val="0088257E"/>
    <w:rsid w:val="008834C2"/>
    <w:rsid w:val="008835B3"/>
    <w:rsid w:val="0088428D"/>
    <w:rsid w:val="00884686"/>
    <w:rsid w:val="00884F94"/>
    <w:rsid w:val="0088530C"/>
    <w:rsid w:val="00885DF9"/>
    <w:rsid w:val="008863D3"/>
    <w:rsid w:val="00886DE6"/>
    <w:rsid w:val="008903AA"/>
    <w:rsid w:val="008904E5"/>
    <w:rsid w:val="0089126A"/>
    <w:rsid w:val="00891C8D"/>
    <w:rsid w:val="00891F31"/>
    <w:rsid w:val="0089201A"/>
    <w:rsid w:val="0089282B"/>
    <w:rsid w:val="0089298A"/>
    <w:rsid w:val="00892F03"/>
    <w:rsid w:val="00893572"/>
    <w:rsid w:val="008943AD"/>
    <w:rsid w:val="008946F3"/>
    <w:rsid w:val="008948AA"/>
    <w:rsid w:val="00894C5B"/>
    <w:rsid w:val="00895150"/>
    <w:rsid w:val="00895896"/>
    <w:rsid w:val="0089616D"/>
    <w:rsid w:val="00896A40"/>
    <w:rsid w:val="00896C9A"/>
    <w:rsid w:val="00896D46"/>
    <w:rsid w:val="00897298"/>
    <w:rsid w:val="00897748"/>
    <w:rsid w:val="008A0514"/>
    <w:rsid w:val="008A0CB5"/>
    <w:rsid w:val="008A0DD6"/>
    <w:rsid w:val="008A0EFD"/>
    <w:rsid w:val="008A1120"/>
    <w:rsid w:val="008A1964"/>
    <w:rsid w:val="008A1F27"/>
    <w:rsid w:val="008A2BEB"/>
    <w:rsid w:val="008A32DE"/>
    <w:rsid w:val="008A351F"/>
    <w:rsid w:val="008A3E42"/>
    <w:rsid w:val="008A4E09"/>
    <w:rsid w:val="008A4F55"/>
    <w:rsid w:val="008A5189"/>
    <w:rsid w:val="008A59FE"/>
    <w:rsid w:val="008A6064"/>
    <w:rsid w:val="008A696C"/>
    <w:rsid w:val="008A6AC6"/>
    <w:rsid w:val="008A6E80"/>
    <w:rsid w:val="008A7438"/>
    <w:rsid w:val="008B0603"/>
    <w:rsid w:val="008B12BA"/>
    <w:rsid w:val="008B12ED"/>
    <w:rsid w:val="008B181A"/>
    <w:rsid w:val="008B18AD"/>
    <w:rsid w:val="008B19CB"/>
    <w:rsid w:val="008B1C7B"/>
    <w:rsid w:val="008B2D3B"/>
    <w:rsid w:val="008B398D"/>
    <w:rsid w:val="008B3A6B"/>
    <w:rsid w:val="008B486E"/>
    <w:rsid w:val="008B5431"/>
    <w:rsid w:val="008B54A6"/>
    <w:rsid w:val="008B552C"/>
    <w:rsid w:val="008B5965"/>
    <w:rsid w:val="008B5BAF"/>
    <w:rsid w:val="008B5F96"/>
    <w:rsid w:val="008B6097"/>
    <w:rsid w:val="008B68A0"/>
    <w:rsid w:val="008B6E1E"/>
    <w:rsid w:val="008B7A7C"/>
    <w:rsid w:val="008B7E4C"/>
    <w:rsid w:val="008C00AC"/>
    <w:rsid w:val="008C0FD9"/>
    <w:rsid w:val="008C1C4A"/>
    <w:rsid w:val="008C206F"/>
    <w:rsid w:val="008C34A0"/>
    <w:rsid w:val="008C3673"/>
    <w:rsid w:val="008C38DD"/>
    <w:rsid w:val="008C3FDB"/>
    <w:rsid w:val="008C49C6"/>
    <w:rsid w:val="008C4C93"/>
    <w:rsid w:val="008C4E54"/>
    <w:rsid w:val="008C53F9"/>
    <w:rsid w:val="008C5596"/>
    <w:rsid w:val="008C5709"/>
    <w:rsid w:val="008C5F95"/>
    <w:rsid w:val="008C730A"/>
    <w:rsid w:val="008C7C70"/>
    <w:rsid w:val="008D0863"/>
    <w:rsid w:val="008D0896"/>
    <w:rsid w:val="008D227F"/>
    <w:rsid w:val="008D320C"/>
    <w:rsid w:val="008D3862"/>
    <w:rsid w:val="008D3A05"/>
    <w:rsid w:val="008D400A"/>
    <w:rsid w:val="008D4414"/>
    <w:rsid w:val="008D4952"/>
    <w:rsid w:val="008D4F83"/>
    <w:rsid w:val="008D7FA1"/>
    <w:rsid w:val="008D7FF9"/>
    <w:rsid w:val="008E06E5"/>
    <w:rsid w:val="008E0D46"/>
    <w:rsid w:val="008E1BD8"/>
    <w:rsid w:val="008E2421"/>
    <w:rsid w:val="008E28C1"/>
    <w:rsid w:val="008E30F6"/>
    <w:rsid w:val="008E3B93"/>
    <w:rsid w:val="008E3D8C"/>
    <w:rsid w:val="008E3E13"/>
    <w:rsid w:val="008E55D0"/>
    <w:rsid w:val="008E5D4C"/>
    <w:rsid w:val="008E778D"/>
    <w:rsid w:val="008E79C9"/>
    <w:rsid w:val="008E7CF1"/>
    <w:rsid w:val="008F07ED"/>
    <w:rsid w:val="008F0971"/>
    <w:rsid w:val="008F13C6"/>
    <w:rsid w:val="008F19E3"/>
    <w:rsid w:val="008F1A9C"/>
    <w:rsid w:val="008F2150"/>
    <w:rsid w:val="008F255B"/>
    <w:rsid w:val="008F2B89"/>
    <w:rsid w:val="008F3591"/>
    <w:rsid w:val="008F40CE"/>
    <w:rsid w:val="008F428B"/>
    <w:rsid w:val="008F437E"/>
    <w:rsid w:val="008F44AD"/>
    <w:rsid w:val="008F465E"/>
    <w:rsid w:val="008F49A4"/>
    <w:rsid w:val="008F49B7"/>
    <w:rsid w:val="008F4FCF"/>
    <w:rsid w:val="008F52A8"/>
    <w:rsid w:val="008F5397"/>
    <w:rsid w:val="008F5AAB"/>
    <w:rsid w:val="008F630B"/>
    <w:rsid w:val="008F69C8"/>
    <w:rsid w:val="008F6ABE"/>
    <w:rsid w:val="008F6DD2"/>
    <w:rsid w:val="008F6EA7"/>
    <w:rsid w:val="008F7190"/>
    <w:rsid w:val="008F7470"/>
    <w:rsid w:val="008F7F8E"/>
    <w:rsid w:val="00900B27"/>
    <w:rsid w:val="00901019"/>
    <w:rsid w:val="009012D7"/>
    <w:rsid w:val="00902091"/>
    <w:rsid w:val="009020BE"/>
    <w:rsid w:val="00902294"/>
    <w:rsid w:val="009023B5"/>
    <w:rsid w:val="00902408"/>
    <w:rsid w:val="00902A6F"/>
    <w:rsid w:val="009031CF"/>
    <w:rsid w:val="009037EA"/>
    <w:rsid w:val="00903E1F"/>
    <w:rsid w:val="00904440"/>
    <w:rsid w:val="009048CF"/>
    <w:rsid w:val="00904DA2"/>
    <w:rsid w:val="0090587B"/>
    <w:rsid w:val="009061DE"/>
    <w:rsid w:val="009068D9"/>
    <w:rsid w:val="00910BA7"/>
    <w:rsid w:val="00910D21"/>
    <w:rsid w:val="00911076"/>
    <w:rsid w:val="0091198D"/>
    <w:rsid w:val="00911D68"/>
    <w:rsid w:val="009121C3"/>
    <w:rsid w:val="00912F46"/>
    <w:rsid w:val="0091305E"/>
    <w:rsid w:val="009133C2"/>
    <w:rsid w:val="009133DD"/>
    <w:rsid w:val="009143F7"/>
    <w:rsid w:val="00914528"/>
    <w:rsid w:val="009149A1"/>
    <w:rsid w:val="00914CE2"/>
    <w:rsid w:val="00914E4F"/>
    <w:rsid w:val="00915B6E"/>
    <w:rsid w:val="009171BE"/>
    <w:rsid w:val="0092019C"/>
    <w:rsid w:val="009202E3"/>
    <w:rsid w:val="0092030A"/>
    <w:rsid w:val="00920641"/>
    <w:rsid w:val="0092092B"/>
    <w:rsid w:val="00920E5F"/>
    <w:rsid w:val="00920FF1"/>
    <w:rsid w:val="009215F4"/>
    <w:rsid w:val="00921752"/>
    <w:rsid w:val="00921A7A"/>
    <w:rsid w:val="00921C5F"/>
    <w:rsid w:val="00923F0B"/>
    <w:rsid w:val="009246B0"/>
    <w:rsid w:val="00924EDB"/>
    <w:rsid w:val="0092554F"/>
    <w:rsid w:val="009259B1"/>
    <w:rsid w:val="0092697E"/>
    <w:rsid w:val="00927654"/>
    <w:rsid w:val="0092779C"/>
    <w:rsid w:val="009277C0"/>
    <w:rsid w:val="00927E55"/>
    <w:rsid w:val="0093024E"/>
    <w:rsid w:val="00930261"/>
    <w:rsid w:val="009305EE"/>
    <w:rsid w:val="00931423"/>
    <w:rsid w:val="0093144C"/>
    <w:rsid w:val="00931672"/>
    <w:rsid w:val="0093244F"/>
    <w:rsid w:val="0093331C"/>
    <w:rsid w:val="00933F59"/>
    <w:rsid w:val="00933F64"/>
    <w:rsid w:val="00933FFF"/>
    <w:rsid w:val="009348E0"/>
    <w:rsid w:val="009355AA"/>
    <w:rsid w:val="009355F4"/>
    <w:rsid w:val="009359FB"/>
    <w:rsid w:val="00936372"/>
    <w:rsid w:val="00937E69"/>
    <w:rsid w:val="00937EEB"/>
    <w:rsid w:val="009405D2"/>
    <w:rsid w:val="009412AA"/>
    <w:rsid w:val="0094159F"/>
    <w:rsid w:val="009417E1"/>
    <w:rsid w:val="00941CE5"/>
    <w:rsid w:val="00941DAE"/>
    <w:rsid w:val="00941E9E"/>
    <w:rsid w:val="0094443D"/>
    <w:rsid w:val="0094538D"/>
    <w:rsid w:val="00945BED"/>
    <w:rsid w:val="009460E0"/>
    <w:rsid w:val="00946A8E"/>
    <w:rsid w:val="00947632"/>
    <w:rsid w:val="009478F1"/>
    <w:rsid w:val="00947A95"/>
    <w:rsid w:val="00950F67"/>
    <w:rsid w:val="00951964"/>
    <w:rsid w:val="00951C29"/>
    <w:rsid w:val="00951DCF"/>
    <w:rsid w:val="009537A9"/>
    <w:rsid w:val="00954240"/>
    <w:rsid w:val="009554E5"/>
    <w:rsid w:val="0095593F"/>
    <w:rsid w:val="00955C52"/>
    <w:rsid w:val="00955E20"/>
    <w:rsid w:val="00960978"/>
    <w:rsid w:val="00961196"/>
    <w:rsid w:val="00961BF5"/>
    <w:rsid w:val="00961CC5"/>
    <w:rsid w:val="00961D95"/>
    <w:rsid w:val="009633FC"/>
    <w:rsid w:val="009635B5"/>
    <w:rsid w:val="009636D2"/>
    <w:rsid w:val="009638FD"/>
    <w:rsid w:val="00963A0F"/>
    <w:rsid w:val="00963C1A"/>
    <w:rsid w:val="00964D8B"/>
    <w:rsid w:val="00965501"/>
    <w:rsid w:val="00965D24"/>
    <w:rsid w:val="00966BB9"/>
    <w:rsid w:val="00967030"/>
    <w:rsid w:val="0096724E"/>
    <w:rsid w:val="00970808"/>
    <w:rsid w:val="00970927"/>
    <w:rsid w:val="00970CF9"/>
    <w:rsid w:val="0097115E"/>
    <w:rsid w:val="00971329"/>
    <w:rsid w:val="0097148D"/>
    <w:rsid w:val="00971EDF"/>
    <w:rsid w:val="0097205E"/>
    <w:rsid w:val="009727F1"/>
    <w:rsid w:val="00972B03"/>
    <w:rsid w:val="00973A0E"/>
    <w:rsid w:val="009740D0"/>
    <w:rsid w:val="00974148"/>
    <w:rsid w:val="00974C61"/>
    <w:rsid w:val="00974CC2"/>
    <w:rsid w:val="00975276"/>
    <w:rsid w:val="009755D4"/>
    <w:rsid w:val="0097629B"/>
    <w:rsid w:val="00976434"/>
    <w:rsid w:val="00976EE9"/>
    <w:rsid w:val="009771F8"/>
    <w:rsid w:val="00977371"/>
    <w:rsid w:val="009774A8"/>
    <w:rsid w:val="0098068D"/>
    <w:rsid w:val="00980E6F"/>
    <w:rsid w:val="0098102F"/>
    <w:rsid w:val="0098104E"/>
    <w:rsid w:val="00982A0C"/>
    <w:rsid w:val="00983947"/>
    <w:rsid w:val="00983A1D"/>
    <w:rsid w:val="00983EEB"/>
    <w:rsid w:val="00985398"/>
    <w:rsid w:val="00985A7E"/>
    <w:rsid w:val="009867CB"/>
    <w:rsid w:val="00986F5D"/>
    <w:rsid w:val="00987C82"/>
    <w:rsid w:val="009904F8"/>
    <w:rsid w:val="00990AA2"/>
    <w:rsid w:val="00990D41"/>
    <w:rsid w:val="00991B51"/>
    <w:rsid w:val="009920A0"/>
    <w:rsid w:val="009927BB"/>
    <w:rsid w:val="009929D3"/>
    <w:rsid w:val="00994E1D"/>
    <w:rsid w:val="00995AD1"/>
    <w:rsid w:val="00996085"/>
    <w:rsid w:val="009965CF"/>
    <w:rsid w:val="00996848"/>
    <w:rsid w:val="0099718F"/>
    <w:rsid w:val="00997355"/>
    <w:rsid w:val="0099738C"/>
    <w:rsid w:val="0099749B"/>
    <w:rsid w:val="00997C53"/>
    <w:rsid w:val="00997D73"/>
    <w:rsid w:val="009A04B8"/>
    <w:rsid w:val="009A0B68"/>
    <w:rsid w:val="009A1807"/>
    <w:rsid w:val="009A1A7B"/>
    <w:rsid w:val="009A1C27"/>
    <w:rsid w:val="009A1FD3"/>
    <w:rsid w:val="009A24B2"/>
    <w:rsid w:val="009A2A40"/>
    <w:rsid w:val="009A32A4"/>
    <w:rsid w:val="009A38D7"/>
    <w:rsid w:val="009A4FA9"/>
    <w:rsid w:val="009A5619"/>
    <w:rsid w:val="009A56BC"/>
    <w:rsid w:val="009A5A36"/>
    <w:rsid w:val="009A5B39"/>
    <w:rsid w:val="009A6F07"/>
    <w:rsid w:val="009A76C1"/>
    <w:rsid w:val="009A77DE"/>
    <w:rsid w:val="009B006F"/>
    <w:rsid w:val="009B057C"/>
    <w:rsid w:val="009B17AD"/>
    <w:rsid w:val="009B1877"/>
    <w:rsid w:val="009B1EBC"/>
    <w:rsid w:val="009B33C3"/>
    <w:rsid w:val="009B3624"/>
    <w:rsid w:val="009B3FE6"/>
    <w:rsid w:val="009B4FA1"/>
    <w:rsid w:val="009B5153"/>
    <w:rsid w:val="009B5157"/>
    <w:rsid w:val="009B5ABF"/>
    <w:rsid w:val="009B5B11"/>
    <w:rsid w:val="009B6321"/>
    <w:rsid w:val="009B66F6"/>
    <w:rsid w:val="009B6DB4"/>
    <w:rsid w:val="009B7830"/>
    <w:rsid w:val="009C07BD"/>
    <w:rsid w:val="009C08A8"/>
    <w:rsid w:val="009C0C8D"/>
    <w:rsid w:val="009C1130"/>
    <w:rsid w:val="009C1512"/>
    <w:rsid w:val="009C222C"/>
    <w:rsid w:val="009C23E2"/>
    <w:rsid w:val="009C248C"/>
    <w:rsid w:val="009C24CB"/>
    <w:rsid w:val="009C2E1F"/>
    <w:rsid w:val="009C3073"/>
    <w:rsid w:val="009C31B0"/>
    <w:rsid w:val="009C3CE7"/>
    <w:rsid w:val="009C4B42"/>
    <w:rsid w:val="009C53A2"/>
    <w:rsid w:val="009C6ADF"/>
    <w:rsid w:val="009C72C0"/>
    <w:rsid w:val="009C75C1"/>
    <w:rsid w:val="009C75E1"/>
    <w:rsid w:val="009C79E0"/>
    <w:rsid w:val="009C7CA3"/>
    <w:rsid w:val="009C7EFB"/>
    <w:rsid w:val="009D0510"/>
    <w:rsid w:val="009D06AF"/>
    <w:rsid w:val="009D09F5"/>
    <w:rsid w:val="009D0D73"/>
    <w:rsid w:val="009D0DB0"/>
    <w:rsid w:val="009D0E99"/>
    <w:rsid w:val="009D0F72"/>
    <w:rsid w:val="009D1511"/>
    <w:rsid w:val="009D1AB4"/>
    <w:rsid w:val="009D3344"/>
    <w:rsid w:val="009D37CF"/>
    <w:rsid w:val="009D4649"/>
    <w:rsid w:val="009D46D2"/>
    <w:rsid w:val="009D488A"/>
    <w:rsid w:val="009D53B5"/>
    <w:rsid w:val="009D57A8"/>
    <w:rsid w:val="009D7DAD"/>
    <w:rsid w:val="009E006A"/>
    <w:rsid w:val="009E006F"/>
    <w:rsid w:val="009E0794"/>
    <w:rsid w:val="009E0DAE"/>
    <w:rsid w:val="009E12A5"/>
    <w:rsid w:val="009E195A"/>
    <w:rsid w:val="009E1E4E"/>
    <w:rsid w:val="009E1EF4"/>
    <w:rsid w:val="009E23AB"/>
    <w:rsid w:val="009E3F0D"/>
    <w:rsid w:val="009E44A8"/>
    <w:rsid w:val="009E5557"/>
    <w:rsid w:val="009E5C4E"/>
    <w:rsid w:val="009E619E"/>
    <w:rsid w:val="009E64E3"/>
    <w:rsid w:val="009E6592"/>
    <w:rsid w:val="009E692D"/>
    <w:rsid w:val="009E70F3"/>
    <w:rsid w:val="009E7F4A"/>
    <w:rsid w:val="009F046B"/>
    <w:rsid w:val="009F09BF"/>
    <w:rsid w:val="009F0CF3"/>
    <w:rsid w:val="009F1717"/>
    <w:rsid w:val="009F280A"/>
    <w:rsid w:val="009F34E8"/>
    <w:rsid w:val="009F44E4"/>
    <w:rsid w:val="009F45F4"/>
    <w:rsid w:val="009F4B87"/>
    <w:rsid w:val="009F594B"/>
    <w:rsid w:val="009F5A33"/>
    <w:rsid w:val="009F6B4D"/>
    <w:rsid w:val="009F6CB5"/>
    <w:rsid w:val="009F6E3C"/>
    <w:rsid w:val="009F7341"/>
    <w:rsid w:val="009F7820"/>
    <w:rsid w:val="009F7CB1"/>
    <w:rsid w:val="009F7F0F"/>
    <w:rsid w:val="009F7FB9"/>
    <w:rsid w:val="00A000BC"/>
    <w:rsid w:val="00A00402"/>
    <w:rsid w:val="00A00579"/>
    <w:rsid w:val="00A00653"/>
    <w:rsid w:val="00A00775"/>
    <w:rsid w:val="00A00FD6"/>
    <w:rsid w:val="00A01FAF"/>
    <w:rsid w:val="00A0250B"/>
    <w:rsid w:val="00A0277D"/>
    <w:rsid w:val="00A03265"/>
    <w:rsid w:val="00A03F59"/>
    <w:rsid w:val="00A04BF1"/>
    <w:rsid w:val="00A0594A"/>
    <w:rsid w:val="00A064B6"/>
    <w:rsid w:val="00A0692D"/>
    <w:rsid w:val="00A06EBF"/>
    <w:rsid w:val="00A0701C"/>
    <w:rsid w:val="00A07606"/>
    <w:rsid w:val="00A07A9D"/>
    <w:rsid w:val="00A07B7F"/>
    <w:rsid w:val="00A10FAC"/>
    <w:rsid w:val="00A12BCA"/>
    <w:rsid w:val="00A137D5"/>
    <w:rsid w:val="00A13859"/>
    <w:rsid w:val="00A13B66"/>
    <w:rsid w:val="00A13E4A"/>
    <w:rsid w:val="00A13F47"/>
    <w:rsid w:val="00A13F60"/>
    <w:rsid w:val="00A143E8"/>
    <w:rsid w:val="00A1614E"/>
    <w:rsid w:val="00A16541"/>
    <w:rsid w:val="00A16EED"/>
    <w:rsid w:val="00A20B58"/>
    <w:rsid w:val="00A20B6C"/>
    <w:rsid w:val="00A21694"/>
    <w:rsid w:val="00A21698"/>
    <w:rsid w:val="00A21A04"/>
    <w:rsid w:val="00A22636"/>
    <w:rsid w:val="00A24342"/>
    <w:rsid w:val="00A24C5F"/>
    <w:rsid w:val="00A24DCF"/>
    <w:rsid w:val="00A26F7C"/>
    <w:rsid w:val="00A27712"/>
    <w:rsid w:val="00A3092B"/>
    <w:rsid w:val="00A32974"/>
    <w:rsid w:val="00A32A9E"/>
    <w:rsid w:val="00A32FA2"/>
    <w:rsid w:val="00A3442A"/>
    <w:rsid w:val="00A34670"/>
    <w:rsid w:val="00A34C85"/>
    <w:rsid w:val="00A36365"/>
    <w:rsid w:val="00A368AF"/>
    <w:rsid w:val="00A36B23"/>
    <w:rsid w:val="00A36EFB"/>
    <w:rsid w:val="00A3734C"/>
    <w:rsid w:val="00A37C61"/>
    <w:rsid w:val="00A37D5A"/>
    <w:rsid w:val="00A400B8"/>
    <w:rsid w:val="00A4025E"/>
    <w:rsid w:val="00A404E7"/>
    <w:rsid w:val="00A40978"/>
    <w:rsid w:val="00A41A2D"/>
    <w:rsid w:val="00A41F69"/>
    <w:rsid w:val="00A42159"/>
    <w:rsid w:val="00A42747"/>
    <w:rsid w:val="00A42B19"/>
    <w:rsid w:val="00A43DF6"/>
    <w:rsid w:val="00A441BF"/>
    <w:rsid w:val="00A448E2"/>
    <w:rsid w:val="00A44982"/>
    <w:rsid w:val="00A4590C"/>
    <w:rsid w:val="00A4661D"/>
    <w:rsid w:val="00A46C9C"/>
    <w:rsid w:val="00A47196"/>
    <w:rsid w:val="00A4725F"/>
    <w:rsid w:val="00A5031A"/>
    <w:rsid w:val="00A5069C"/>
    <w:rsid w:val="00A5096C"/>
    <w:rsid w:val="00A50EEB"/>
    <w:rsid w:val="00A5205D"/>
    <w:rsid w:val="00A53727"/>
    <w:rsid w:val="00A55C29"/>
    <w:rsid w:val="00A56B35"/>
    <w:rsid w:val="00A57A90"/>
    <w:rsid w:val="00A57BE6"/>
    <w:rsid w:val="00A60B15"/>
    <w:rsid w:val="00A60FA4"/>
    <w:rsid w:val="00A61481"/>
    <w:rsid w:val="00A61498"/>
    <w:rsid w:val="00A6159D"/>
    <w:rsid w:val="00A62003"/>
    <w:rsid w:val="00A633BA"/>
    <w:rsid w:val="00A639B1"/>
    <w:rsid w:val="00A639BA"/>
    <w:rsid w:val="00A64095"/>
    <w:rsid w:val="00A647F2"/>
    <w:rsid w:val="00A64991"/>
    <w:rsid w:val="00A650AE"/>
    <w:rsid w:val="00A65114"/>
    <w:rsid w:val="00A65B0E"/>
    <w:rsid w:val="00A65DE4"/>
    <w:rsid w:val="00A65E6D"/>
    <w:rsid w:val="00A6689C"/>
    <w:rsid w:val="00A668A8"/>
    <w:rsid w:val="00A66A0B"/>
    <w:rsid w:val="00A66B39"/>
    <w:rsid w:val="00A66DF4"/>
    <w:rsid w:val="00A67DF0"/>
    <w:rsid w:val="00A700C0"/>
    <w:rsid w:val="00A702E9"/>
    <w:rsid w:val="00A7040D"/>
    <w:rsid w:val="00A705BB"/>
    <w:rsid w:val="00A70C04"/>
    <w:rsid w:val="00A70C4B"/>
    <w:rsid w:val="00A70D98"/>
    <w:rsid w:val="00A710F3"/>
    <w:rsid w:val="00A7201F"/>
    <w:rsid w:val="00A72049"/>
    <w:rsid w:val="00A72591"/>
    <w:rsid w:val="00A726DB"/>
    <w:rsid w:val="00A7286E"/>
    <w:rsid w:val="00A72BC4"/>
    <w:rsid w:val="00A72CC4"/>
    <w:rsid w:val="00A73CCD"/>
    <w:rsid w:val="00A751EE"/>
    <w:rsid w:val="00A760E8"/>
    <w:rsid w:val="00A772A8"/>
    <w:rsid w:val="00A8020B"/>
    <w:rsid w:val="00A803D0"/>
    <w:rsid w:val="00A81848"/>
    <w:rsid w:val="00A8184F"/>
    <w:rsid w:val="00A81E1D"/>
    <w:rsid w:val="00A8201A"/>
    <w:rsid w:val="00A82758"/>
    <w:rsid w:val="00A82AFE"/>
    <w:rsid w:val="00A84DB0"/>
    <w:rsid w:val="00A85B9C"/>
    <w:rsid w:val="00A863FF"/>
    <w:rsid w:val="00A86836"/>
    <w:rsid w:val="00A87B08"/>
    <w:rsid w:val="00A91376"/>
    <w:rsid w:val="00A91858"/>
    <w:rsid w:val="00A92374"/>
    <w:rsid w:val="00A9317A"/>
    <w:rsid w:val="00A9395D"/>
    <w:rsid w:val="00A93963"/>
    <w:rsid w:val="00A94168"/>
    <w:rsid w:val="00A95635"/>
    <w:rsid w:val="00A95D92"/>
    <w:rsid w:val="00A96211"/>
    <w:rsid w:val="00A962CD"/>
    <w:rsid w:val="00A96D86"/>
    <w:rsid w:val="00A9736A"/>
    <w:rsid w:val="00AA0234"/>
    <w:rsid w:val="00AA039A"/>
    <w:rsid w:val="00AA0AB2"/>
    <w:rsid w:val="00AA1185"/>
    <w:rsid w:val="00AA16BA"/>
    <w:rsid w:val="00AA1C48"/>
    <w:rsid w:val="00AA1CCD"/>
    <w:rsid w:val="00AA1F13"/>
    <w:rsid w:val="00AA3780"/>
    <w:rsid w:val="00AA3A27"/>
    <w:rsid w:val="00AA4979"/>
    <w:rsid w:val="00AA4CF2"/>
    <w:rsid w:val="00AA4EFC"/>
    <w:rsid w:val="00AA5FBF"/>
    <w:rsid w:val="00AA618A"/>
    <w:rsid w:val="00AA663B"/>
    <w:rsid w:val="00AA6EBC"/>
    <w:rsid w:val="00AA6FBB"/>
    <w:rsid w:val="00AA745A"/>
    <w:rsid w:val="00AB01AD"/>
    <w:rsid w:val="00AB09D8"/>
    <w:rsid w:val="00AB0A51"/>
    <w:rsid w:val="00AB11A3"/>
    <w:rsid w:val="00AB1C3B"/>
    <w:rsid w:val="00AB1F1F"/>
    <w:rsid w:val="00AB3D1F"/>
    <w:rsid w:val="00AB4339"/>
    <w:rsid w:val="00AB493E"/>
    <w:rsid w:val="00AB4D86"/>
    <w:rsid w:val="00AB5148"/>
    <w:rsid w:val="00AB530F"/>
    <w:rsid w:val="00AB5C7A"/>
    <w:rsid w:val="00AB6112"/>
    <w:rsid w:val="00AB6498"/>
    <w:rsid w:val="00AB65A8"/>
    <w:rsid w:val="00AB6BD8"/>
    <w:rsid w:val="00AB6D07"/>
    <w:rsid w:val="00AB7227"/>
    <w:rsid w:val="00AB73AD"/>
    <w:rsid w:val="00AB7836"/>
    <w:rsid w:val="00AB7A9F"/>
    <w:rsid w:val="00AB7F47"/>
    <w:rsid w:val="00AC021F"/>
    <w:rsid w:val="00AC057F"/>
    <w:rsid w:val="00AC2A02"/>
    <w:rsid w:val="00AC2CB7"/>
    <w:rsid w:val="00AC30DA"/>
    <w:rsid w:val="00AC3528"/>
    <w:rsid w:val="00AC387B"/>
    <w:rsid w:val="00AC388E"/>
    <w:rsid w:val="00AC4180"/>
    <w:rsid w:val="00AC4D2B"/>
    <w:rsid w:val="00AC5026"/>
    <w:rsid w:val="00AC51D0"/>
    <w:rsid w:val="00AC55F0"/>
    <w:rsid w:val="00AC5FE3"/>
    <w:rsid w:val="00AC7400"/>
    <w:rsid w:val="00AC7AF2"/>
    <w:rsid w:val="00AC7BB8"/>
    <w:rsid w:val="00AD0655"/>
    <w:rsid w:val="00AD083E"/>
    <w:rsid w:val="00AD1026"/>
    <w:rsid w:val="00AD1060"/>
    <w:rsid w:val="00AD13AB"/>
    <w:rsid w:val="00AD153F"/>
    <w:rsid w:val="00AD1AB7"/>
    <w:rsid w:val="00AD1BD5"/>
    <w:rsid w:val="00AD20A3"/>
    <w:rsid w:val="00AD2164"/>
    <w:rsid w:val="00AD2680"/>
    <w:rsid w:val="00AD28BA"/>
    <w:rsid w:val="00AD2F88"/>
    <w:rsid w:val="00AD3C33"/>
    <w:rsid w:val="00AD46D4"/>
    <w:rsid w:val="00AD4706"/>
    <w:rsid w:val="00AD488E"/>
    <w:rsid w:val="00AD4932"/>
    <w:rsid w:val="00AD5C29"/>
    <w:rsid w:val="00AD63A5"/>
    <w:rsid w:val="00AD677B"/>
    <w:rsid w:val="00AD695A"/>
    <w:rsid w:val="00AD6F36"/>
    <w:rsid w:val="00AD7A54"/>
    <w:rsid w:val="00AD7C3F"/>
    <w:rsid w:val="00AD7F24"/>
    <w:rsid w:val="00AE031A"/>
    <w:rsid w:val="00AE04B6"/>
    <w:rsid w:val="00AE056B"/>
    <w:rsid w:val="00AE1524"/>
    <w:rsid w:val="00AE1734"/>
    <w:rsid w:val="00AE2247"/>
    <w:rsid w:val="00AE3677"/>
    <w:rsid w:val="00AE39F0"/>
    <w:rsid w:val="00AE3A97"/>
    <w:rsid w:val="00AE3B4E"/>
    <w:rsid w:val="00AE3F59"/>
    <w:rsid w:val="00AE44E0"/>
    <w:rsid w:val="00AE4FEE"/>
    <w:rsid w:val="00AE5620"/>
    <w:rsid w:val="00AE56F7"/>
    <w:rsid w:val="00AE6019"/>
    <w:rsid w:val="00AE684B"/>
    <w:rsid w:val="00AE6C7D"/>
    <w:rsid w:val="00AF0D24"/>
    <w:rsid w:val="00AF1153"/>
    <w:rsid w:val="00AF12BE"/>
    <w:rsid w:val="00AF221D"/>
    <w:rsid w:val="00AF24A8"/>
    <w:rsid w:val="00AF2C7E"/>
    <w:rsid w:val="00AF2EDA"/>
    <w:rsid w:val="00AF32D7"/>
    <w:rsid w:val="00AF32E5"/>
    <w:rsid w:val="00AF3625"/>
    <w:rsid w:val="00AF3F6D"/>
    <w:rsid w:val="00AF41C4"/>
    <w:rsid w:val="00AF446D"/>
    <w:rsid w:val="00AF5241"/>
    <w:rsid w:val="00AF57B5"/>
    <w:rsid w:val="00AF6316"/>
    <w:rsid w:val="00AF6BCC"/>
    <w:rsid w:val="00AF6DB2"/>
    <w:rsid w:val="00AF7019"/>
    <w:rsid w:val="00AF703D"/>
    <w:rsid w:val="00AF73C3"/>
    <w:rsid w:val="00AF752B"/>
    <w:rsid w:val="00B0060B"/>
    <w:rsid w:val="00B00E38"/>
    <w:rsid w:val="00B010AB"/>
    <w:rsid w:val="00B011E9"/>
    <w:rsid w:val="00B01662"/>
    <w:rsid w:val="00B016A8"/>
    <w:rsid w:val="00B01C7E"/>
    <w:rsid w:val="00B01DBD"/>
    <w:rsid w:val="00B032BE"/>
    <w:rsid w:val="00B03E91"/>
    <w:rsid w:val="00B04F05"/>
    <w:rsid w:val="00B11451"/>
    <w:rsid w:val="00B137BF"/>
    <w:rsid w:val="00B137F1"/>
    <w:rsid w:val="00B1391D"/>
    <w:rsid w:val="00B1393F"/>
    <w:rsid w:val="00B13B24"/>
    <w:rsid w:val="00B14138"/>
    <w:rsid w:val="00B142F8"/>
    <w:rsid w:val="00B14458"/>
    <w:rsid w:val="00B15589"/>
    <w:rsid w:val="00B1564F"/>
    <w:rsid w:val="00B15F22"/>
    <w:rsid w:val="00B16857"/>
    <w:rsid w:val="00B17381"/>
    <w:rsid w:val="00B1739C"/>
    <w:rsid w:val="00B2024F"/>
    <w:rsid w:val="00B20539"/>
    <w:rsid w:val="00B20B97"/>
    <w:rsid w:val="00B20D68"/>
    <w:rsid w:val="00B21217"/>
    <w:rsid w:val="00B21450"/>
    <w:rsid w:val="00B2165E"/>
    <w:rsid w:val="00B21CDA"/>
    <w:rsid w:val="00B21D33"/>
    <w:rsid w:val="00B21F29"/>
    <w:rsid w:val="00B22527"/>
    <w:rsid w:val="00B22BD4"/>
    <w:rsid w:val="00B2345B"/>
    <w:rsid w:val="00B2380C"/>
    <w:rsid w:val="00B23FC4"/>
    <w:rsid w:val="00B241C6"/>
    <w:rsid w:val="00B243F2"/>
    <w:rsid w:val="00B24965"/>
    <w:rsid w:val="00B255A9"/>
    <w:rsid w:val="00B2693A"/>
    <w:rsid w:val="00B27E1E"/>
    <w:rsid w:val="00B30470"/>
    <w:rsid w:val="00B3083E"/>
    <w:rsid w:val="00B3145D"/>
    <w:rsid w:val="00B31851"/>
    <w:rsid w:val="00B31C84"/>
    <w:rsid w:val="00B3216D"/>
    <w:rsid w:val="00B323AF"/>
    <w:rsid w:val="00B32AFE"/>
    <w:rsid w:val="00B32E6A"/>
    <w:rsid w:val="00B33B62"/>
    <w:rsid w:val="00B33EC1"/>
    <w:rsid w:val="00B3464B"/>
    <w:rsid w:val="00B3661A"/>
    <w:rsid w:val="00B3722F"/>
    <w:rsid w:val="00B41052"/>
    <w:rsid w:val="00B410D7"/>
    <w:rsid w:val="00B413B0"/>
    <w:rsid w:val="00B42599"/>
    <w:rsid w:val="00B42CDF"/>
    <w:rsid w:val="00B42D61"/>
    <w:rsid w:val="00B43905"/>
    <w:rsid w:val="00B44F17"/>
    <w:rsid w:val="00B461EE"/>
    <w:rsid w:val="00B467A2"/>
    <w:rsid w:val="00B46DD2"/>
    <w:rsid w:val="00B46ED4"/>
    <w:rsid w:val="00B46FC3"/>
    <w:rsid w:val="00B47731"/>
    <w:rsid w:val="00B50432"/>
    <w:rsid w:val="00B51587"/>
    <w:rsid w:val="00B526C4"/>
    <w:rsid w:val="00B52CBF"/>
    <w:rsid w:val="00B53042"/>
    <w:rsid w:val="00B55425"/>
    <w:rsid w:val="00B55839"/>
    <w:rsid w:val="00B56094"/>
    <w:rsid w:val="00B5672A"/>
    <w:rsid w:val="00B572FB"/>
    <w:rsid w:val="00B579C6"/>
    <w:rsid w:val="00B603DD"/>
    <w:rsid w:val="00B608FF"/>
    <w:rsid w:val="00B62205"/>
    <w:rsid w:val="00B62548"/>
    <w:rsid w:val="00B62FC5"/>
    <w:rsid w:val="00B637C9"/>
    <w:rsid w:val="00B638FC"/>
    <w:rsid w:val="00B63E3A"/>
    <w:rsid w:val="00B64F26"/>
    <w:rsid w:val="00B653EA"/>
    <w:rsid w:val="00B65B8D"/>
    <w:rsid w:val="00B663C4"/>
    <w:rsid w:val="00B66BAB"/>
    <w:rsid w:val="00B67560"/>
    <w:rsid w:val="00B6767E"/>
    <w:rsid w:val="00B67733"/>
    <w:rsid w:val="00B717DE"/>
    <w:rsid w:val="00B7186F"/>
    <w:rsid w:val="00B719EA"/>
    <w:rsid w:val="00B72B2C"/>
    <w:rsid w:val="00B72CE2"/>
    <w:rsid w:val="00B732B6"/>
    <w:rsid w:val="00B737ED"/>
    <w:rsid w:val="00B7406B"/>
    <w:rsid w:val="00B744F8"/>
    <w:rsid w:val="00B7454D"/>
    <w:rsid w:val="00B7651E"/>
    <w:rsid w:val="00B76C05"/>
    <w:rsid w:val="00B77764"/>
    <w:rsid w:val="00B77D8D"/>
    <w:rsid w:val="00B809E0"/>
    <w:rsid w:val="00B81393"/>
    <w:rsid w:val="00B81672"/>
    <w:rsid w:val="00B818ED"/>
    <w:rsid w:val="00B81B67"/>
    <w:rsid w:val="00B824FE"/>
    <w:rsid w:val="00B8283A"/>
    <w:rsid w:val="00B846C5"/>
    <w:rsid w:val="00B854AA"/>
    <w:rsid w:val="00B85ED4"/>
    <w:rsid w:val="00B85FAF"/>
    <w:rsid w:val="00B86FF6"/>
    <w:rsid w:val="00B871BA"/>
    <w:rsid w:val="00B872A8"/>
    <w:rsid w:val="00B87F26"/>
    <w:rsid w:val="00B909A9"/>
    <w:rsid w:val="00B913F0"/>
    <w:rsid w:val="00B91726"/>
    <w:rsid w:val="00B925AF"/>
    <w:rsid w:val="00B92B24"/>
    <w:rsid w:val="00B935EF"/>
    <w:rsid w:val="00B93673"/>
    <w:rsid w:val="00B93A7E"/>
    <w:rsid w:val="00B947B0"/>
    <w:rsid w:val="00B94FAD"/>
    <w:rsid w:val="00B95157"/>
    <w:rsid w:val="00B957D9"/>
    <w:rsid w:val="00B95E5F"/>
    <w:rsid w:val="00B96E28"/>
    <w:rsid w:val="00B970DD"/>
    <w:rsid w:val="00BA0427"/>
    <w:rsid w:val="00BA048B"/>
    <w:rsid w:val="00BA091A"/>
    <w:rsid w:val="00BA15F9"/>
    <w:rsid w:val="00BA1641"/>
    <w:rsid w:val="00BA285E"/>
    <w:rsid w:val="00BA3717"/>
    <w:rsid w:val="00BA3740"/>
    <w:rsid w:val="00BA3E81"/>
    <w:rsid w:val="00BA51AD"/>
    <w:rsid w:val="00BA522F"/>
    <w:rsid w:val="00BA57C4"/>
    <w:rsid w:val="00BA6432"/>
    <w:rsid w:val="00BA69D9"/>
    <w:rsid w:val="00BA7630"/>
    <w:rsid w:val="00BA77E8"/>
    <w:rsid w:val="00BA7B73"/>
    <w:rsid w:val="00BA7ECB"/>
    <w:rsid w:val="00BB045D"/>
    <w:rsid w:val="00BB053F"/>
    <w:rsid w:val="00BB07E7"/>
    <w:rsid w:val="00BB0CAE"/>
    <w:rsid w:val="00BB1058"/>
    <w:rsid w:val="00BB11C0"/>
    <w:rsid w:val="00BB1ED6"/>
    <w:rsid w:val="00BB2333"/>
    <w:rsid w:val="00BB3034"/>
    <w:rsid w:val="00BB4265"/>
    <w:rsid w:val="00BB432B"/>
    <w:rsid w:val="00BB57BC"/>
    <w:rsid w:val="00BB5846"/>
    <w:rsid w:val="00BB5C0D"/>
    <w:rsid w:val="00BB5DC6"/>
    <w:rsid w:val="00BB6F34"/>
    <w:rsid w:val="00BB70BB"/>
    <w:rsid w:val="00BB74B5"/>
    <w:rsid w:val="00BB7A34"/>
    <w:rsid w:val="00BB7CBD"/>
    <w:rsid w:val="00BC15AB"/>
    <w:rsid w:val="00BC2E33"/>
    <w:rsid w:val="00BC3EB1"/>
    <w:rsid w:val="00BC4D80"/>
    <w:rsid w:val="00BC4F6C"/>
    <w:rsid w:val="00BC57B8"/>
    <w:rsid w:val="00BC5974"/>
    <w:rsid w:val="00BC5B56"/>
    <w:rsid w:val="00BC5B6C"/>
    <w:rsid w:val="00BC6600"/>
    <w:rsid w:val="00BC6B15"/>
    <w:rsid w:val="00BC71E3"/>
    <w:rsid w:val="00BC778E"/>
    <w:rsid w:val="00BD09CB"/>
    <w:rsid w:val="00BD102E"/>
    <w:rsid w:val="00BD10D2"/>
    <w:rsid w:val="00BD1AB5"/>
    <w:rsid w:val="00BD222A"/>
    <w:rsid w:val="00BD229A"/>
    <w:rsid w:val="00BD28F6"/>
    <w:rsid w:val="00BD2ADE"/>
    <w:rsid w:val="00BD370D"/>
    <w:rsid w:val="00BD3C66"/>
    <w:rsid w:val="00BD4353"/>
    <w:rsid w:val="00BD5733"/>
    <w:rsid w:val="00BD57F7"/>
    <w:rsid w:val="00BD648A"/>
    <w:rsid w:val="00BD6A61"/>
    <w:rsid w:val="00BD74F5"/>
    <w:rsid w:val="00BE04B2"/>
    <w:rsid w:val="00BE12EA"/>
    <w:rsid w:val="00BE19AD"/>
    <w:rsid w:val="00BE1BE0"/>
    <w:rsid w:val="00BE3D40"/>
    <w:rsid w:val="00BE4384"/>
    <w:rsid w:val="00BE46E1"/>
    <w:rsid w:val="00BE4E40"/>
    <w:rsid w:val="00BE4FD8"/>
    <w:rsid w:val="00BE576D"/>
    <w:rsid w:val="00BE5908"/>
    <w:rsid w:val="00BE69C1"/>
    <w:rsid w:val="00BE6A7E"/>
    <w:rsid w:val="00BE6F16"/>
    <w:rsid w:val="00BE7676"/>
    <w:rsid w:val="00BE7AE9"/>
    <w:rsid w:val="00BE7E74"/>
    <w:rsid w:val="00BE7F36"/>
    <w:rsid w:val="00BF0B77"/>
    <w:rsid w:val="00BF0D4F"/>
    <w:rsid w:val="00BF1048"/>
    <w:rsid w:val="00BF113C"/>
    <w:rsid w:val="00BF117D"/>
    <w:rsid w:val="00BF203C"/>
    <w:rsid w:val="00BF2F40"/>
    <w:rsid w:val="00BF3EAD"/>
    <w:rsid w:val="00BF4886"/>
    <w:rsid w:val="00BF49D3"/>
    <w:rsid w:val="00BF4FD5"/>
    <w:rsid w:val="00BF56C1"/>
    <w:rsid w:val="00BF6011"/>
    <w:rsid w:val="00BF6140"/>
    <w:rsid w:val="00BF6192"/>
    <w:rsid w:val="00BF6E97"/>
    <w:rsid w:val="00C0047A"/>
    <w:rsid w:val="00C00705"/>
    <w:rsid w:val="00C00FDD"/>
    <w:rsid w:val="00C01058"/>
    <w:rsid w:val="00C01582"/>
    <w:rsid w:val="00C01A71"/>
    <w:rsid w:val="00C02394"/>
    <w:rsid w:val="00C025E0"/>
    <w:rsid w:val="00C044E4"/>
    <w:rsid w:val="00C054A0"/>
    <w:rsid w:val="00C05A9F"/>
    <w:rsid w:val="00C06931"/>
    <w:rsid w:val="00C06AE3"/>
    <w:rsid w:val="00C06BAC"/>
    <w:rsid w:val="00C0767C"/>
    <w:rsid w:val="00C07D27"/>
    <w:rsid w:val="00C108C4"/>
    <w:rsid w:val="00C10971"/>
    <w:rsid w:val="00C10CC2"/>
    <w:rsid w:val="00C11C07"/>
    <w:rsid w:val="00C11DBC"/>
    <w:rsid w:val="00C12173"/>
    <w:rsid w:val="00C121D3"/>
    <w:rsid w:val="00C1240B"/>
    <w:rsid w:val="00C1255E"/>
    <w:rsid w:val="00C12800"/>
    <w:rsid w:val="00C1319E"/>
    <w:rsid w:val="00C133C1"/>
    <w:rsid w:val="00C135CC"/>
    <w:rsid w:val="00C13826"/>
    <w:rsid w:val="00C13CD8"/>
    <w:rsid w:val="00C13E8C"/>
    <w:rsid w:val="00C143B7"/>
    <w:rsid w:val="00C15BCA"/>
    <w:rsid w:val="00C16302"/>
    <w:rsid w:val="00C16377"/>
    <w:rsid w:val="00C16E05"/>
    <w:rsid w:val="00C16F24"/>
    <w:rsid w:val="00C17031"/>
    <w:rsid w:val="00C175A9"/>
    <w:rsid w:val="00C17BF2"/>
    <w:rsid w:val="00C17FA5"/>
    <w:rsid w:val="00C200DB"/>
    <w:rsid w:val="00C2073D"/>
    <w:rsid w:val="00C20A5A"/>
    <w:rsid w:val="00C20D97"/>
    <w:rsid w:val="00C21781"/>
    <w:rsid w:val="00C22084"/>
    <w:rsid w:val="00C2280F"/>
    <w:rsid w:val="00C22AD5"/>
    <w:rsid w:val="00C22B3A"/>
    <w:rsid w:val="00C22FDB"/>
    <w:rsid w:val="00C23BD6"/>
    <w:rsid w:val="00C24B01"/>
    <w:rsid w:val="00C24DED"/>
    <w:rsid w:val="00C24FE3"/>
    <w:rsid w:val="00C259E8"/>
    <w:rsid w:val="00C2641B"/>
    <w:rsid w:val="00C26F71"/>
    <w:rsid w:val="00C277A6"/>
    <w:rsid w:val="00C279CB"/>
    <w:rsid w:val="00C27DA2"/>
    <w:rsid w:val="00C30391"/>
    <w:rsid w:val="00C303B4"/>
    <w:rsid w:val="00C3200D"/>
    <w:rsid w:val="00C32258"/>
    <w:rsid w:val="00C32AAA"/>
    <w:rsid w:val="00C32AAD"/>
    <w:rsid w:val="00C32E38"/>
    <w:rsid w:val="00C33A37"/>
    <w:rsid w:val="00C36119"/>
    <w:rsid w:val="00C36996"/>
    <w:rsid w:val="00C40002"/>
    <w:rsid w:val="00C40131"/>
    <w:rsid w:val="00C403CC"/>
    <w:rsid w:val="00C40B3A"/>
    <w:rsid w:val="00C40C8D"/>
    <w:rsid w:val="00C40CC0"/>
    <w:rsid w:val="00C40CFF"/>
    <w:rsid w:val="00C41384"/>
    <w:rsid w:val="00C4193B"/>
    <w:rsid w:val="00C42556"/>
    <w:rsid w:val="00C42AEF"/>
    <w:rsid w:val="00C43CB8"/>
    <w:rsid w:val="00C44D9A"/>
    <w:rsid w:val="00C45044"/>
    <w:rsid w:val="00C4528D"/>
    <w:rsid w:val="00C455DE"/>
    <w:rsid w:val="00C45731"/>
    <w:rsid w:val="00C45A65"/>
    <w:rsid w:val="00C4613B"/>
    <w:rsid w:val="00C462A3"/>
    <w:rsid w:val="00C46319"/>
    <w:rsid w:val="00C46456"/>
    <w:rsid w:val="00C47B37"/>
    <w:rsid w:val="00C503CD"/>
    <w:rsid w:val="00C50507"/>
    <w:rsid w:val="00C506A8"/>
    <w:rsid w:val="00C515C5"/>
    <w:rsid w:val="00C51B61"/>
    <w:rsid w:val="00C527BF"/>
    <w:rsid w:val="00C52DDB"/>
    <w:rsid w:val="00C531D4"/>
    <w:rsid w:val="00C535F5"/>
    <w:rsid w:val="00C53715"/>
    <w:rsid w:val="00C53E4D"/>
    <w:rsid w:val="00C5454F"/>
    <w:rsid w:val="00C54C5F"/>
    <w:rsid w:val="00C55CA4"/>
    <w:rsid w:val="00C56BA1"/>
    <w:rsid w:val="00C5797E"/>
    <w:rsid w:val="00C605D1"/>
    <w:rsid w:val="00C61073"/>
    <w:rsid w:val="00C6225F"/>
    <w:rsid w:val="00C629D8"/>
    <w:rsid w:val="00C63A77"/>
    <w:rsid w:val="00C64EFD"/>
    <w:rsid w:val="00C64F8A"/>
    <w:rsid w:val="00C66D77"/>
    <w:rsid w:val="00C70244"/>
    <w:rsid w:val="00C705DA"/>
    <w:rsid w:val="00C70F01"/>
    <w:rsid w:val="00C71D78"/>
    <w:rsid w:val="00C72511"/>
    <w:rsid w:val="00C72A8C"/>
    <w:rsid w:val="00C72C91"/>
    <w:rsid w:val="00C73A5E"/>
    <w:rsid w:val="00C73C43"/>
    <w:rsid w:val="00C74609"/>
    <w:rsid w:val="00C759DC"/>
    <w:rsid w:val="00C75C42"/>
    <w:rsid w:val="00C76701"/>
    <w:rsid w:val="00C77367"/>
    <w:rsid w:val="00C8019E"/>
    <w:rsid w:val="00C8092F"/>
    <w:rsid w:val="00C809C0"/>
    <w:rsid w:val="00C8126C"/>
    <w:rsid w:val="00C81531"/>
    <w:rsid w:val="00C8178F"/>
    <w:rsid w:val="00C81992"/>
    <w:rsid w:val="00C82242"/>
    <w:rsid w:val="00C83954"/>
    <w:rsid w:val="00C83BDB"/>
    <w:rsid w:val="00C850BD"/>
    <w:rsid w:val="00C85A1D"/>
    <w:rsid w:val="00C85CD7"/>
    <w:rsid w:val="00C860E6"/>
    <w:rsid w:val="00C878C5"/>
    <w:rsid w:val="00C9000F"/>
    <w:rsid w:val="00C903E3"/>
    <w:rsid w:val="00C9086F"/>
    <w:rsid w:val="00C915C8"/>
    <w:rsid w:val="00C91C94"/>
    <w:rsid w:val="00C92793"/>
    <w:rsid w:val="00C9301D"/>
    <w:rsid w:val="00C93E20"/>
    <w:rsid w:val="00C94605"/>
    <w:rsid w:val="00C947AB"/>
    <w:rsid w:val="00C951EB"/>
    <w:rsid w:val="00C953FF"/>
    <w:rsid w:val="00C95B16"/>
    <w:rsid w:val="00C9603A"/>
    <w:rsid w:val="00C962E5"/>
    <w:rsid w:val="00C96772"/>
    <w:rsid w:val="00C97359"/>
    <w:rsid w:val="00C978A3"/>
    <w:rsid w:val="00CA01C9"/>
    <w:rsid w:val="00CA0434"/>
    <w:rsid w:val="00CA0F90"/>
    <w:rsid w:val="00CA157B"/>
    <w:rsid w:val="00CA1709"/>
    <w:rsid w:val="00CA1A89"/>
    <w:rsid w:val="00CA23E4"/>
    <w:rsid w:val="00CA328B"/>
    <w:rsid w:val="00CA43E1"/>
    <w:rsid w:val="00CA44D7"/>
    <w:rsid w:val="00CA464A"/>
    <w:rsid w:val="00CA486C"/>
    <w:rsid w:val="00CA54D4"/>
    <w:rsid w:val="00CA552E"/>
    <w:rsid w:val="00CA562C"/>
    <w:rsid w:val="00CA5732"/>
    <w:rsid w:val="00CA5C5C"/>
    <w:rsid w:val="00CA5EAD"/>
    <w:rsid w:val="00CA62EC"/>
    <w:rsid w:val="00CA7905"/>
    <w:rsid w:val="00CA7CCE"/>
    <w:rsid w:val="00CB01AA"/>
    <w:rsid w:val="00CB04BA"/>
    <w:rsid w:val="00CB0803"/>
    <w:rsid w:val="00CB10A9"/>
    <w:rsid w:val="00CB117E"/>
    <w:rsid w:val="00CB118F"/>
    <w:rsid w:val="00CB11BA"/>
    <w:rsid w:val="00CB1220"/>
    <w:rsid w:val="00CB14C0"/>
    <w:rsid w:val="00CB1BD1"/>
    <w:rsid w:val="00CB2A8D"/>
    <w:rsid w:val="00CB372E"/>
    <w:rsid w:val="00CB3F0E"/>
    <w:rsid w:val="00CB48FB"/>
    <w:rsid w:val="00CB622E"/>
    <w:rsid w:val="00CB6980"/>
    <w:rsid w:val="00CB6BAB"/>
    <w:rsid w:val="00CB7483"/>
    <w:rsid w:val="00CB7974"/>
    <w:rsid w:val="00CB7D56"/>
    <w:rsid w:val="00CC00FB"/>
    <w:rsid w:val="00CC0CB8"/>
    <w:rsid w:val="00CC191B"/>
    <w:rsid w:val="00CC2016"/>
    <w:rsid w:val="00CC27E1"/>
    <w:rsid w:val="00CC34E6"/>
    <w:rsid w:val="00CC3608"/>
    <w:rsid w:val="00CC3A80"/>
    <w:rsid w:val="00CC4062"/>
    <w:rsid w:val="00CC41DF"/>
    <w:rsid w:val="00CC506C"/>
    <w:rsid w:val="00CC5424"/>
    <w:rsid w:val="00CC5A6A"/>
    <w:rsid w:val="00CC5C22"/>
    <w:rsid w:val="00CC6658"/>
    <w:rsid w:val="00CC789F"/>
    <w:rsid w:val="00CD0056"/>
    <w:rsid w:val="00CD00CF"/>
    <w:rsid w:val="00CD0C19"/>
    <w:rsid w:val="00CD1E03"/>
    <w:rsid w:val="00CD30F3"/>
    <w:rsid w:val="00CD314F"/>
    <w:rsid w:val="00CD354B"/>
    <w:rsid w:val="00CD35DB"/>
    <w:rsid w:val="00CD374E"/>
    <w:rsid w:val="00CD37BE"/>
    <w:rsid w:val="00CD4740"/>
    <w:rsid w:val="00CD4C93"/>
    <w:rsid w:val="00CD50E7"/>
    <w:rsid w:val="00CD580D"/>
    <w:rsid w:val="00CD58DB"/>
    <w:rsid w:val="00CD5A63"/>
    <w:rsid w:val="00CD6115"/>
    <w:rsid w:val="00CD6768"/>
    <w:rsid w:val="00CD6E14"/>
    <w:rsid w:val="00CD78A3"/>
    <w:rsid w:val="00CD7CF9"/>
    <w:rsid w:val="00CD7D86"/>
    <w:rsid w:val="00CD7FAB"/>
    <w:rsid w:val="00CE0398"/>
    <w:rsid w:val="00CE1FB0"/>
    <w:rsid w:val="00CE21AB"/>
    <w:rsid w:val="00CE277F"/>
    <w:rsid w:val="00CE287B"/>
    <w:rsid w:val="00CE31EA"/>
    <w:rsid w:val="00CE3802"/>
    <w:rsid w:val="00CE52B8"/>
    <w:rsid w:val="00CE56FE"/>
    <w:rsid w:val="00CE5EA2"/>
    <w:rsid w:val="00CE600E"/>
    <w:rsid w:val="00CE6816"/>
    <w:rsid w:val="00CE6C9D"/>
    <w:rsid w:val="00CE722A"/>
    <w:rsid w:val="00CE790E"/>
    <w:rsid w:val="00CE7FA4"/>
    <w:rsid w:val="00CF08D8"/>
    <w:rsid w:val="00CF0CAE"/>
    <w:rsid w:val="00CF1179"/>
    <w:rsid w:val="00CF11D1"/>
    <w:rsid w:val="00CF186F"/>
    <w:rsid w:val="00CF1DE5"/>
    <w:rsid w:val="00CF1E53"/>
    <w:rsid w:val="00CF21E7"/>
    <w:rsid w:val="00CF2C7D"/>
    <w:rsid w:val="00CF490E"/>
    <w:rsid w:val="00CF4DD4"/>
    <w:rsid w:val="00CF4FE5"/>
    <w:rsid w:val="00CF533D"/>
    <w:rsid w:val="00CF5689"/>
    <w:rsid w:val="00CF5D77"/>
    <w:rsid w:val="00CF5E0F"/>
    <w:rsid w:val="00CF64F8"/>
    <w:rsid w:val="00CF6834"/>
    <w:rsid w:val="00CF6FBA"/>
    <w:rsid w:val="00CF72CA"/>
    <w:rsid w:val="00D001CD"/>
    <w:rsid w:val="00D006D9"/>
    <w:rsid w:val="00D00AD7"/>
    <w:rsid w:val="00D013A1"/>
    <w:rsid w:val="00D014EF"/>
    <w:rsid w:val="00D016E2"/>
    <w:rsid w:val="00D01BB0"/>
    <w:rsid w:val="00D0296B"/>
    <w:rsid w:val="00D02E43"/>
    <w:rsid w:val="00D02E9F"/>
    <w:rsid w:val="00D02EE6"/>
    <w:rsid w:val="00D036A5"/>
    <w:rsid w:val="00D03DEB"/>
    <w:rsid w:val="00D04D95"/>
    <w:rsid w:val="00D04F76"/>
    <w:rsid w:val="00D05B96"/>
    <w:rsid w:val="00D06D2B"/>
    <w:rsid w:val="00D07769"/>
    <w:rsid w:val="00D1021D"/>
    <w:rsid w:val="00D10A39"/>
    <w:rsid w:val="00D116FB"/>
    <w:rsid w:val="00D11B39"/>
    <w:rsid w:val="00D11C2E"/>
    <w:rsid w:val="00D12167"/>
    <w:rsid w:val="00D125A1"/>
    <w:rsid w:val="00D12CFD"/>
    <w:rsid w:val="00D12EFE"/>
    <w:rsid w:val="00D12FD9"/>
    <w:rsid w:val="00D139A2"/>
    <w:rsid w:val="00D14206"/>
    <w:rsid w:val="00D14A6F"/>
    <w:rsid w:val="00D14DE7"/>
    <w:rsid w:val="00D15280"/>
    <w:rsid w:val="00D16148"/>
    <w:rsid w:val="00D16BF2"/>
    <w:rsid w:val="00D1706A"/>
    <w:rsid w:val="00D2108A"/>
    <w:rsid w:val="00D21095"/>
    <w:rsid w:val="00D21F47"/>
    <w:rsid w:val="00D21F53"/>
    <w:rsid w:val="00D22812"/>
    <w:rsid w:val="00D23260"/>
    <w:rsid w:val="00D25324"/>
    <w:rsid w:val="00D25638"/>
    <w:rsid w:val="00D25C55"/>
    <w:rsid w:val="00D25F25"/>
    <w:rsid w:val="00D26654"/>
    <w:rsid w:val="00D26F0E"/>
    <w:rsid w:val="00D27021"/>
    <w:rsid w:val="00D27181"/>
    <w:rsid w:val="00D27AE2"/>
    <w:rsid w:val="00D31067"/>
    <w:rsid w:val="00D31790"/>
    <w:rsid w:val="00D31BD7"/>
    <w:rsid w:val="00D3207F"/>
    <w:rsid w:val="00D34A09"/>
    <w:rsid w:val="00D34F39"/>
    <w:rsid w:val="00D35CB6"/>
    <w:rsid w:val="00D35F3A"/>
    <w:rsid w:val="00D3703B"/>
    <w:rsid w:val="00D37929"/>
    <w:rsid w:val="00D40815"/>
    <w:rsid w:val="00D42173"/>
    <w:rsid w:val="00D4241C"/>
    <w:rsid w:val="00D43330"/>
    <w:rsid w:val="00D43711"/>
    <w:rsid w:val="00D4421F"/>
    <w:rsid w:val="00D4422E"/>
    <w:rsid w:val="00D444A0"/>
    <w:rsid w:val="00D45D8A"/>
    <w:rsid w:val="00D479E2"/>
    <w:rsid w:val="00D50905"/>
    <w:rsid w:val="00D50B22"/>
    <w:rsid w:val="00D52479"/>
    <w:rsid w:val="00D53777"/>
    <w:rsid w:val="00D54DB8"/>
    <w:rsid w:val="00D54E7E"/>
    <w:rsid w:val="00D54EFC"/>
    <w:rsid w:val="00D54FCC"/>
    <w:rsid w:val="00D5509E"/>
    <w:rsid w:val="00D552ED"/>
    <w:rsid w:val="00D561F6"/>
    <w:rsid w:val="00D56402"/>
    <w:rsid w:val="00D5668F"/>
    <w:rsid w:val="00D56C5E"/>
    <w:rsid w:val="00D5713F"/>
    <w:rsid w:val="00D575C8"/>
    <w:rsid w:val="00D57CEB"/>
    <w:rsid w:val="00D61B4A"/>
    <w:rsid w:val="00D62B15"/>
    <w:rsid w:val="00D63421"/>
    <w:rsid w:val="00D64017"/>
    <w:rsid w:val="00D649F9"/>
    <w:rsid w:val="00D64BCE"/>
    <w:rsid w:val="00D64F8E"/>
    <w:rsid w:val="00D65D6E"/>
    <w:rsid w:val="00D65F06"/>
    <w:rsid w:val="00D664D4"/>
    <w:rsid w:val="00D669C3"/>
    <w:rsid w:val="00D6781D"/>
    <w:rsid w:val="00D67D0F"/>
    <w:rsid w:val="00D67D3B"/>
    <w:rsid w:val="00D67E36"/>
    <w:rsid w:val="00D71017"/>
    <w:rsid w:val="00D71AD7"/>
    <w:rsid w:val="00D73746"/>
    <w:rsid w:val="00D7382C"/>
    <w:rsid w:val="00D738AF"/>
    <w:rsid w:val="00D73D1D"/>
    <w:rsid w:val="00D73E36"/>
    <w:rsid w:val="00D75393"/>
    <w:rsid w:val="00D75EF8"/>
    <w:rsid w:val="00D76587"/>
    <w:rsid w:val="00D76851"/>
    <w:rsid w:val="00D77508"/>
    <w:rsid w:val="00D77882"/>
    <w:rsid w:val="00D77B82"/>
    <w:rsid w:val="00D8076C"/>
    <w:rsid w:val="00D8170F"/>
    <w:rsid w:val="00D81AD0"/>
    <w:rsid w:val="00D81CEB"/>
    <w:rsid w:val="00D82815"/>
    <w:rsid w:val="00D82924"/>
    <w:rsid w:val="00D82AE9"/>
    <w:rsid w:val="00D83874"/>
    <w:rsid w:val="00D85181"/>
    <w:rsid w:val="00D852CB"/>
    <w:rsid w:val="00D85420"/>
    <w:rsid w:val="00D85B3D"/>
    <w:rsid w:val="00D87BC7"/>
    <w:rsid w:val="00D900A1"/>
    <w:rsid w:val="00D90427"/>
    <w:rsid w:val="00D909AB"/>
    <w:rsid w:val="00D90F13"/>
    <w:rsid w:val="00D912DE"/>
    <w:rsid w:val="00D91A4A"/>
    <w:rsid w:val="00D91BFF"/>
    <w:rsid w:val="00D91E62"/>
    <w:rsid w:val="00D922F5"/>
    <w:rsid w:val="00D92CD8"/>
    <w:rsid w:val="00D92D8B"/>
    <w:rsid w:val="00D9388E"/>
    <w:rsid w:val="00D93AF1"/>
    <w:rsid w:val="00D93EF3"/>
    <w:rsid w:val="00D947D4"/>
    <w:rsid w:val="00D94E75"/>
    <w:rsid w:val="00D950DE"/>
    <w:rsid w:val="00D95B86"/>
    <w:rsid w:val="00D96949"/>
    <w:rsid w:val="00D97258"/>
    <w:rsid w:val="00D978B3"/>
    <w:rsid w:val="00DA0366"/>
    <w:rsid w:val="00DA0A37"/>
    <w:rsid w:val="00DA0F9E"/>
    <w:rsid w:val="00DA10A7"/>
    <w:rsid w:val="00DA1AC7"/>
    <w:rsid w:val="00DA1F5F"/>
    <w:rsid w:val="00DA2794"/>
    <w:rsid w:val="00DA300C"/>
    <w:rsid w:val="00DA3506"/>
    <w:rsid w:val="00DA3AC8"/>
    <w:rsid w:val="00DA3DC3"/>
    <w:rsid w:val="00DA4B08"/>
    <w:rsid w:val="00DA5952"/>
    <w:rsid w:val="00DA6223"/>
    <w:rsid w:val="00DA63FA"/>
    <w:rsid w:val="00DA652C"/>
    <w:rsid w:val="00DA666D"/>
    <w:rsid w:val="00DA7251"/>
    <w:rsid w:val="00DA7393"/>
    <w:rsid w:val="00DA7978"/>
    <w:rsid w:val="00DB06E8"/>
    <w:rsid w:val="00DB0FEC"/>
    <w:rsid w:val="00DB12DB"/>
    <w:rsid w:val="00DB179C"/>
    <w:rsid w:val="00DB223E"/>
    <w:rsid w:val="00DB2497"/>
    <w:rsid w:val="00DB2E57"/>
    <w:rsid w:val="00DB328B"/>
    <w:rsid w:val="00DB3BD2"/>
    <w:rsid w:val="00DB425A"/>
    <w:rsid w:val="00DB4E39"/>
    <w:rsid w:val="00DB5021"/>
    <w:rsid w:val="00DB567B"/>
    <w:rsid w:val="00DB5746"/>
    <w:rsid w:val="00DB60E5"/>
    <w:rsid w:val="00DB78E0"/>
    <w:rsid w:val="00DB7F02"/>
    <w:rsid w:val="00DC015E"/>
    <w:rsid w:val="00DC061D"/>
    <w:rsid w:val="00DC07A7"/>
    <w:rsid w:val="00DC2A59"/>
    <w:rsid w:val="00DC3293"/>
    <w:rsid w:val="00DC35EA"/>
    <w:rsid w:val="00DC53E8"/>
    <w:rsid w:val="00DC55FE"/>
    <w:rsid w:val="00DC6608"/>
    <w:rsid w:val="00DC69D3"/>
    <w:rsid w:val="00DC7188"/>
    <w:rsid w:val="00DC7248"/>
    <w:rsid w:val="00DC791F"/>
    <w:rsid w:val="00DC7C0D"/>
    <w:rsid w:val="00DC7C89"/>
    <w:rsid w:val="00DD01A1"/>
    <w:rsid w:val="00DD02A4"/>
    <w:rsid w:val="00DD030C"/>
    <w:rsid w:val="00DD0355"/>
    <w:rsid w:val="00DD04D8"/>
    <w:rsid w:val="00DD054E"/>
    <w:rsid w:val="00DD079B"/>
    <w:rsid w:val="00DD0899"/>
    <w:rsid w:val="00DD2161"/>
    <w:rsid w:val="00DD28B4"/>
    <w:rsid w:val="00DD2A35"/>
    <w:rsid w:val="00DD2BF2"/>
    <w:rsid w:val="00DD436A"/>
    <w:rsid w:val="00DD49B6"/>
    <w:rsid w:val="00DD50AF"/>
    <w:rsid w:val="00DD58F6"/>
    <w:rsid w:val="00DD5E1D"/>
    <w:rsid w:val="00DD6574"/>
    <w:rsid w:val="00DD6C3E"/>
    <w:rsid w:val="00DD78C0"/>
    <w:rsid w:val="00DD7B32"/>
    <w:rsid w:val="00DE01CA"/>
    <w:rsid w:val="00DE0FF0"/>
    <w:rsid w:val="00DE1EBB"/>
    <w:rsid w:val="00DE2240"/>
    <w:rsid w:val="00DE3B38"/>
    <w:rsid w:val="00DE549A"/>
    <w:rsid w:val="00DE5C53"/>
    <w:rsid w:val="00DE5EE6"/>
    <w:rsid w:val="00DE7B10"/>
    <w:rsid w:val="00DF1775"/>
    <w:rsid w:val="00DF1DD5"/>
    <w:rsid w:val="00DF1FE1"/>
    <w:rsid w:val="00DF204B"/>
    <w:rsid w:val="00DF2BEC"/>
    <w:rsid w:val="00DF39DB"/>
    <w:rsid w:val="00DF476B"/>
    <w:rsid w:val="00DF4B32"/>
    <w:rsid w:val="00DF5682"/>
    <w:rsid w:val="00DF5A59"/>
    <w:rsid w:val="00DF5AFB"/>
    <w:rsid w:val="00DF6792"/>
    <w:rsid w:val="00DF6FCB"/>
    <w:rsid w:val="00DF77B5"/>
    <w:rsid w:val="00DF7838"/>
    <w:rsid w:val="00E0050A"/>
    <w:rsid w:val="00E0073E"/>
    <w:rsid w:val="00E00800"/>
    <w:rsid w:val="00E017F5"/>
    <w:rsid w:val="00E02519"/>
    <w:rsid w:val="00E0273B"/>
    <w:rsid w:val="00E02E19"/>
    <w:rsid w:val="00E02F71"/>
    <w:rsid w:val="00E03220"/>
    <w:rsid w:val="00E03F4A"/>
    <w:rsid w:val="00E040A6"/>
    <w:rsid w:val="00E05A5B"/>
    <w:rsid w:val="00E0612A"/>
    <w:rsid w:val="00E07270"/>
    <w:rsid w:val="00E07C05"/>
    <w:rsid w:val="00E1211A"/>
    <w:rsid w:val="00E12AFB"/>
    <w:rsid w:val="00E12C6A"/>
    <w:rsid w:val="00E13312"/>
    <w:rsid w:val="00E1348A"/>
    <w:rsid w:val="00E134B4"/>
    <w:rsid w:val="00E140FC"/>
    <w:rsid w:val="00E147EB"/>
    <w:rsid w:val="00E1481C"/>
    <w:rsid w:val="00E14C5D"/>
    <w:rsid w:val="00E1501F"/>
    <w:rsid w:val="00E150DB"/>
    <w:rsid w:val="00E1633D"/>
    <w:rsid w:val="00E16E8C"/>
    <w:rsid w:val="00E16F05"/>
    <w:rsid w:val="00E17290"/>
    <w:rsid w:val="00E17C4B"/>
    <w:rsid w:val="00E20494"/>
    <w:rsid w:val="00E2067E"/>
    <w:rsid w:val="00E20DBD"/>
    <w:rsid w:val="00E20F50"/>
    <w:rsid w:val="00E20FF8"/>
    <w:rsid w:val="00E22186"/>
    <w:rsid w:val="00E2310D"/>
    <w:rsid w:val="00E23A28"/>
    <w:rsid w:val="00E2421A"/>
    <w:rsid w:val="00E24484"/>
    <w:rsid w:val="00E24910"/>
    <w:rsid w:val="00E25CEE"/>
    <w:rsid w:val="00E25D01"/>
    <w:rsid w:val="00E25FFB"/>
    <w:rsid w:val="00E2650B"/>
    <w:rsid w:val="00E26F00"/>
    <w:rsid w:val="00E2760D"/>
    <w:rsid w:val="00E27F20"/>
    <w:rsid w:val="00E3035B"/>
    <w:rsid w:val="00E30796"/>
    <w:rsid w:val="00E31A5E"/>
    <w:rsid w:val="00E31B0B"/>
    <w:rsid w:val="00E3220D"/>
    <w:rsid w:val="00E32463"/>
    <w:rsid w:val="00E32794"/>
    <w:rsid w:val="00E32B24"/>
    <w:rsid w:val="00E32C29"/>
    <w:rsid w:val="00E33213"/>
    <w:rsid w:val="00E342D3"/>
    <w:rsid w:val="00E345BA"/>
    <w:rsid w:val="00E3496D"/>
    <w:rsid w:val="00E35C63"/>
    <w:rsid w:val="00E35E27"/>
    <w:rsid w:val="00E366AD"/>
    <w:rsid w:val="00E36B2B"/>
    <w:rsid w:val="00E37309"/>
    <w:rsid w:val="00E37912"/>
    <w:rsid w:val="00E37D91"/>
    <w:rsid w:val="00E4052A"/>
    <w:rsid w:val="00E4057D"/>
    <w:rsid w:val="00E405C5"/>
    <w:rsid w:val="00E408AE"/>
    <w:rsid w:val="00E40F03"/>
    <w:rsid w:val="00E41262"/>
    <w:rsid w:val="00E41303"/>
    <w:rsid w:val="00E41AF7"/>
    <w:rsid w:val="00E41B12"/>
    <w:rsid w:val="00E422E8"/>
    <w:rsid w:val="00E42962"/>
    <w:rsid w:val="00E43BC1"/>
    <w:rsid w:val="00E43E01"/>
    <w:rsid w:val="00E464DA"/>
    <w:rsid w:val="00E46632"/>
    <w:rsid w:val="00E470E1"/>
    <w:rsid w:val="00E476E3"/>
    <w:rsid w:val="00E478AF"/>
    <w:rsid w:val="00E5054D"/>
    <w:rsid w:val="00E5071B"/>
    <w:rsid w:val="00E50EA7"/>
    <w:rsid w:val="00E51726"/>
    <w:rsid w:val="00E51C46"/>
    <w:rsid w:val="00E5316D"/>
    <w:rsid w:val="00E5367D"/>
    <w:rsid w:val="00E53DB9"/>
    <w:rsid w:val="00E540C1"/>
    <w:rsid w:val="00E547ED"/>
    <w:rsid w:val="00E548DF"/>
    <w:rsid w:val="00E54E11"/>
    <w:rsid w:val="00E54E3B"/>
    <w:rsid w:val="00E54E50"/>
    <w:rsid w:val="00E54E9E"/>
    <w:rsid w:val="00E550CD"/>
    <w:rsid w:val="00E553D9"/>
    <w:rsid w:val="00E559F6"/>
    <w:rsid w:val="00E55C2E"/>
    <w:rsid w:val="00E55E42"/>
    <w:rsid w:val="00E55FAE"/>
    <w:rsid w:val="00E562BD"/>
    <w:rsid w:val="00E5664A"/>
    <w:rsid w:val="00E5785C"/>
    <w:rsid w:val="00E579BB"/>
    <w:rsid w:val="00E57CA2"/>
    <w:rsid w:val="00E57F1D"/>
    <w:rsid w:val="00E602C0"/>
    <w:rsid w:val="00E603A2"/>
    <w:rsid w:val="00E623CC"/>
    <w:rsid w:val="00E6274C"/>
    <w:rsid w:val="00E6362B"/>
    <w:rsid w:val="00E638F1"/>
    <w:rsid w:val="00E63E16"/>
    <w:rsid w:val="00E64225"/>
    <w:rsid w:val="00E649ED"/>
    <w:rsid w:val="00E65409"/>
    <w:rsid w:val="00E654A1"/>
    <w:rsid w:val="00E658D2"/>
    <w:rsid w:val="00E6612E"/>
    <w:rsid w:val="00E66911"/>
    <w:rsid w:val="00E66A3A"/>
    <w:rsid w:val="00E67099"/>
    <w:rsid w:val="00E67CDD"/>
    <w:rsid w:val="00E67FB1"/>
    <w:rsid w:val="00E67FCA"/>
    <w:rsid w:val="00E7018D"/>
    <w:rsid w:val="00E703C8"/>
    <w:rsid w:val="00E71EA4"/>
    <w:rsid w:val="00E7293D"/>
    <w:rsid w:val="00E736F1"/>
    <w:rsid w:val="00E7400A"/>
    <w:rsid w:val="00E74290"/>
    <w:rsid w:val="00E74DA6"/>
    <w:rsid w:val="00E74E28"/>
    <w:rsid w:val="00E75955"/>
    <w:rsid w:val="00E75C00"/>
    <w:rsid w:val="00E75C47"/>
    <w:rsid w:val="00E76683"/>
    <w:rsid w:val="00E771EA"/>
    <w:rsid w:val="00E77C3F"/>
    <w:rsid w:val="00E805EE"/>
    <w:rsid w:val="00E80973"/>
    <w:rsid w:val="00E8124D"/>
    <w:rsid w:val="00E82093"/>
    <w:rsid w:val="00E8219E"/>
    <w:rsid w:val="00E82A10"/>
    <w:rsid w:val="00E84208"/>
    <w:rsid w:val="00E84355"/>
    <w:rsid w:val="00E84553"/>
    <w:rsid w:val="00E84698"/>
    <w:rsid w:val="00E849F9"/>
    <w:rsid w:val="00E8602D"/>
    <w:rsid w:val="00E862C2"/>
    <w:rsid w:val="00E86C8A"/>
    <w:rsid w:val="00E87C30"/>
    <w:rsid w:val="00E87D98"/>
    <w:rsid w:val="00E9194B"/>
    <w:rsid w:val="00E91D57"/>
    <w:rsid w:val="00E924A0"/>
    <w:rsid w:val="00E926E6"/>
    <w:rsid w:val="00E927E7"/>
    <w:rsid w:val="00E92ACD"/>
    <w:rsid w:val="00E92D52"/>
    <w:rsid w:val="00E930D7"/>
    <w:rsid w:val="00E933FA"/>
    <w:rsid w:val="00E934E5"/>
    <w:rsid w:val="00E93638"/>
    <w:rsid w:val="00E93B42"/>
    <w:rsid w:val="00E94101"/>
    <w:rsid w:val="00E94583"/>
    <w:rsid w:val="00E957D9"/>
    <w:rsid w:val="00EA0628"/>
    <w:rsid w:val="00EA09F4"/>
    <w:rsid w:val="00EA0F35"/>
    <w:rsid w:val="00EA118C"/>
    <w:rsid w:val="00EA1D5D"/>
    <w:rsid w:val="00EA3785"/>
    <w:rsid w:val="00EA3831"/>
    <w:rsid w:val="00EA3923"/>
    <w:rsid w:val="00EA3AAE"/>
    <w:rsid w:val="00EA3FAB"/>
    <w:rsid w:val="00EA4110"/>
    <w:rsid w:val="00EA465C"/>
    <w:rsid w:val="00EA4BC0"/>
    <w:rsid w:val="00EA5124"/>
    <w:rsid w:val="00EA6448"/>
    <w:rsid w:val="00EA6476"/>
    <w:rsid w:val="00EA6777"/>
    <w:rsid w:val="00EA68B2"/>
    <w:rsid w:val="00EA6FC4"/>
    <w:rsid w:val="00EA7A92"/>
    <w:rsid w:val="00EA7D26"/>
    <w:rsid w:val="00EB00BE"/>
    <w:rsid w:val="00EB030D"/>
    <w:rsid w:val="00EB0348"/>
    <w:rsid w:val="00EB0E58"/>
    <w:rsid w:val="00EB123D"/>
    <w:rsid w:val="00EB1D66"/>
    <w:rsid w:val="00EB245A"/>
    <w:rsid w:val="00EB3005"/>
    <w:rsid w:val="00EB3B1B"/>
    <w:rsid w:val="00EB3C48"/>
    <w:rsid w:val="00EB476C"/>
    <w:rsid w:val="00EB4C15"/>
    <w:rsid w:val="00EB559F"/>
    <w:rsid w:val="00EB59DE"/>
    <w:rsid w:val="00EB5C8B"/>
    <w:rsid w:val="00EB5D3C"/>
    <w:rsid w:val="00EB5E62"/>
    <w:rsid w:val="00EB6111"/>
    <w:rsid w:val="00EB6825"/>
    <w:rsid w:val="00EB7A23"/>
    <w:rsid w:val="00EC04F6"/>
    <w:rsid w:val="00EC24F3"/>
    <w:rsid w:val="00EC4BDD"/>
    <w:rsid w:val="00EC5847"/>
    <w:rsid w:val="00EC5F51"/>
    <w:rsid w:val="00EC666E"/>
    <w:rsid w:val="00EC68C9"/>
    <w:rsid w:val="00ED1BBE"/>
    <w:rsid w:val="00ED1ECE"/>
    <w:rsid w:val="00ED22E7"/>
    <w:rsid w:val="00ED26E8"/>
    <w:rsid w:val="00ED539E"/>
    <w:rsid w:val="00ED610E"/>
    <w:rsid w:val="00ED6D26"/>
    <w:rsid w:val="00EE00C5"/>
    <w:rsid w:val="00EE03D3"/>
    <w:rsid w:val="00EE0512"/>
    <w:rsid w:val="00EE0535"/>
    <w:rsid w:val="00EE0C8D"/>
    <w:rsid w:val="00EE2391"/>
    <w:rsid w:val="00EE2396"/>
    <w:rsid w:val="00EE3039"/>
    <w:rsid w:val="00EE315D"/>
    <w:rsid w:val="00EE3738"/>
    <w:rsid w:val="00EE39A5"/>
    <w:rsid w:val="00EE3BB7"/>
    <w:rsid w:val="00EE4051"/>
    <w:rsid w:val="00EE4471"/>
    <w:rsid w:val="00EE4505"/>
    <w:rsid w:val="00EE4C56"/>
    <w:rsid w:val="00EE57C2"/>
    <w:rsid w:val="00EE5DF1"/>
    <w:rsid w:val="00EE6629"/>
    <w:rsid w:val="00EE6E39"/>
    <w:rsid w:val="00EE74C9"/>
    <w:rsid w:val="00EF02D5"/>
    <w:rsid w:val="00EF0435"/>
    <w:rsid w:val="00EF06A7"/>
    <w:rsid w:val="00EF0A03"/>
    <w:rsid w:val="00EF18D5"/>
    <w:rsid w:val="00EF1937"/>
    <w:rsid w:val="00EF2018"/>
    <w:rsid w:val="00EF23ED"/>
    <w:rsid w:val="00EF2C8C"/>
    <w:rsid w:val="00EF2F8F"/>
    <w:rsid w:val="00EF3480"/>
    <w:rsid w:val="00EF3893"/>
    <w:rsid w:val="00EF3DD7"/>
    <w:rsid w:val="00EF420A"/>
    <w:rsid w:val="00EF47F3"/>
    <w:rsid w:val="00EF4AC4"/>
    <w:rsid w:val="00EF5592"/>
    <w:rsid w:val="00EF5D79"/>
    <w:rsid w:val="00EF6B8E"/>
    <w:rsid w:val="00EF7463"/>
    <w:rsid w:val="00EF7726"/>
    <w:rsid w:val="00EF7D98"/>
    <w:rsid w:val="00F00819"/>
    <w:rsid w:val="00F00A3E"/>
    <w:rsid w:val="00F00B3B"/>
    <w:rsid w:val="00F00F3B"/>
    <w:rsid w:val="00F013F2"/>
    <w:rsid w:val="00F01A18"/>
    <w:rsid w:val="00F02657"/>
    <w:rsid w:val="00F02A10"/>
    <w:rsid w:val="00F03183"/>
    <w:rsid w:val="00F03718"/>
    <w:rsid w:val="00F03960"/>
    <w:rsid w:val="00F04684"/>
    <w:rsid w:val="00F048D1"/>
    <w:rsid w:val="00F051CD"/>
    <w:rsid w:val="00F07BF3"/>
    <w:rsid w:val="00F10035"/>
    <w:rsid w:val="00F111F5"/>
    <w:rsid w:val="00F11765"/>
    <w:rsid w:val="00F1188F"/>
    <w:rsid w:val="00F11C85"/>
    <w:rsid w:val="00F1280D"/>
    <w:rsid w:val="00F12ABA"/>
    <w:rsid w:val="00F12F12"/>
    <w:rsid w:val="00F135C4"/>
    <w:rsid w:val="00F146AA"/>
    <w:rsid w:val="00F14DDA"/>
    <w:rsid w:val="00F14EF6"/>
    <w:rsid w:val="00F15C1C"/>
    <w:rsid w:val="00F1682B"/>
    <w:rsid w:val="00F17474"/>
    <w:rsid w:val="00F17CD9"/>
    <w:rsid w:val="00F21012"/>
    <w:rsid w:val="00F2183B"/>
    <w:rsid w:val="00F21B70"/>
    <w:rsid w:val="00F222B4"/>
    <w:rsid w:val="00F22FBF"/>
    <w:rsid w:val="00F232EA"/>
    <w:rsid w:val="00F234CD"/>
    <w:rsid w:val="00F238CC"/>
    <w:rsid w:val="00F238FD"/>
    <w:rsid w:val="00F2393A"/>
    <w:rsid w:val="00F23CC4"/>
    <w:rsid w:val="00F23D46"/>
    <w:rsid w:val="00F24CC5"/>
    <w:rsid w:val="00F24E32"/>
    <w:rsid w:val="00F25301"/>
    <w:rsid w:val="00F2553E"/>
    <w:rsid w:val="00F262D0"/>
    <w:rsid w:val="00F266C8"/>
    <w:rsid w:val="00F2750D"/>
    <w:rsid w:val="00F311F1"/>
    <w:rsid w:val="00F31D1C"/>
    <w:rsid w:val="00F34148"/>
    <w:rsid w:val="00F34791"/>
    <w:rsid w:val="00F34CEB"/>
    <w:rsid w:val="00F35484"/>
    <w:rsid w:val="00F35A7B"/>
    <w:rsid w:val="00F36A80"/>
    <w:rsid w:val="00F37602"/>
    <w:rsid w:val="00F37D35"/>
    <w:rsid w:val="00F37D8D"/>
    <w:rsid w:val="00F40425"/>
    <w:rsid w:val="00F40BB4"/>
    <w:rsid w:val="00F41995"/>
    <w:rsid w:val="00F41F21"/>
    <w:rsid w:val="00F430DB"/>
    <w:rsid w:val="00F43298"/>
    <w:rsid w:val="00F43309"/>
    <w:rsid w:val="00F43667"/>
    <w:rsid w:val="00F437AE"/>
    <w:rsid w:val="00F441F7"/>
    <w:rsid w:val="00F449EA"/>
    <w:rsid w:val="00F44E0B"/>
    <w:rsid w:val="00F45467"/>
    <w:rsid w:val="00F45BCA"/>
    <w:rsid w:val="00F45D52"/>
    <w:rsid w:val="00F45D81"/>
    <w:rsid w:val="00F45F86"/>
    <w:rsid w:val="00F4665B"/>
    <w:rsid w:val="00F466D5"/>
    <w:rsid w:val="00F472CA"/>
    <w:rsid w:val="00F47625"/>
    <w:rsid w:val="00F47BEF"/>
    <w:rsid w:val="00F513AB"/>
    <w:rsid w:val="00F51546"/>
    <w:rsid w:val="00F523AC"/>
    <w:rsid w:val="00F53225"/>
    <w:rsid w:val="00F532AD"/>
    <w:rsid w:val="00F5485E"/>
    <w:rsid w:val="00F54A8F"/>
    <w:rsid w:val="00F54D0B"/>
    <w:rsid w:val="00F55948"/>
    <w:rsid w:val="00F55CB0"/>
    <w:rsid w:val="00F56378"/>
    <w:rsid w:val="00F5643C"/>
    <w:rsid w:val="00F566BA"/>
    <w:rsid w:val="00F57751"/>
    <w:rsid w:val="00F578A5"/>
    <w:rsid w:val="00F60468"/>
    <w:rsid w:val="00F60BC7"/>
    <w:rsid w:val="00F62841"/>
    <w:rsid w:val="00F62EB9"/>
    <w:rsid w:val="00F63517"/>
    <w:rsid w:val="00F64343"/>
    <w:rsid w:val="00F64883"/>
    <w:rsid w:val="00F65C0E"/>
    <w:rsid w:val="00F66317"/>
    <w:rsid w:val="00F67511"/>
    <w:rsid w:val="00F67D21"/>
    <w:rsid w:val="00F70110"/>
    <w:rsid w:val="00F7026C"/>
    <w:rsid w:val="00F708E0"/>
    <w:rsid w:val="00F709BA"/>
    <w:rsid w:val="00F70A28"/>
    <w:rsid w:val="00F70D7A"/>
    <w:rsid w:val="00F7159F"/>
    <w:rsid w:val="00F715E5"/>
    <w:rsid w:val="00F71A4C"/>
    <w:rsid w:val="00F71E0B"/>
    <w:rsid w:val="00F727C9"/>
    <w:rsid w:val="00F72A80"/>
    <w:rsid w:val="00F73C70"/>
    <w:rsid w:val="00F7420F"/>
    <w:rsid w:val="00F743CB"/>
    <w:rsid w:val="00F75339"/>
    <w:rsid w:val="00F753FB"/>
    <w:rsid w:val="00F75E7E"/>
    <w:rsid w:val="00F76C80"/>
    <w:rsid w:val="00F77D01"/>
    <w:rsid w:val="00F77D39"/>
    <w:rsid w:val="00F8275D"/>
    <w:rsid w:val="00F8305A"/>
    <w:rsid w:val="00F830F9"/>
    <w:rsid w:val="00F83555"/>
    <w:rsid w:val="00F837EB"/>
    <w:rsid w:val="00F83DF6"/>
    <w:rsid w:val="00F84388"/>
    <w:rsid w:val="00F84470"/>
    <w:rsid w:val="00F85E79"/>
    <w:rsid w:val="00F862E9"/>
    <w:rsid w:val="00F867D4"/>
    <w:rsid w:val="00F86F7C"/>
    <w:rsid w:val="00F8770F"/>
    <w:rsid w:val="00F9076F"/>
    <w:rsid w:val="00F90CEA"/>
    <w:rsid w:val="00F90D1A"/>
    <w:rsid w:val="00F917A2"/>
    <w:rsid w:val="00F92657"/>
    <w:rsid w:val="00F92B1D"/>
    <w:rsid w:val="00F94381"/>
    <w:rsid w:val="00F95A95"/>
    <w:rsid w:val="00F95B0E"/>
    <w:rsid w:val="00F968C9"/>
    <w:rsid w:val="00F97420"/>
    <w:rsid w:val="00F97613"/>
    <w:rsid w:val="00F97709"/>
    <w:rsid w:val="00F978FD"/>
    <w:rsid w:val="00FA004D"/>
    <w:rsid w:val="00FA0C3A"/>
    <w:rsid w:val="00FA159F"/>
    <w:rsid w:val="00FA173F"/>
    <w:rsid w:val="00FA36D1"/>
    <w:rsid w:val="00FA4C4D"/>
    <w:rsid w:val="00FA5929"/>
    <w:rsid w:val="00FA5E38"/>
    <w:rsid w:val="00FA5E97"/>
    <w:rsid w:val="00FA69C9"/>
    <w:rsid w:val="00FA6AC1"/>
    <w:rsid w:val="00FA7517"/>
    <w:rsid w:val="00FA7E31"/>
    <w:rsid w:val="00FA7F4B"/>
    <w:rsid w:val="00FB0362"/>
    <w:rsid w:val="00FB19FC"/>
    <w:rsid w:val="00FB1F15"/>
    <w:rsid w:val="00FB2070"/>
    <w:rsid w:val="00FB208D"/>
    <w:rsid w:val="00FB2497"/>
    <w:rsid w:val="00FB297D"/>
    <w:rsid w:val="00FB3D5C"/>
    <w:rsid w:val="00FB3F61"/>
    <w:rsid w:val="00FB5F83"/>
    <w:rsid w:val="00FB6B2C"/>
    <w:rsid w:val="00FB73F9"/>
    <w:rsid w:val="00FB7E7B"/>
    <w:rsid w:val="00FC0920"/>
    <w:rsid w:val="00FC0B09"/>
    <w:rsid w:val="00FC0CF8"/>
    <w:rsid w:val="00FC0DAB"/>
    <w:rsid w:val="00FC106E"/>
    <w:rsid w:val="00FC11D8"/>
    <w:rsid w:val="00FC1373"/>
    <w:rsid w:val="00FC1388"/>
    <w:rsid w:val="00FC1480"/>
    <w:rsid w:val="00FC1B8B"/>
    <w:rsid w:val="00FC21B8"/>
    <w:rsid w:val="00FC3092"/>
    <w:rsid w:val="00FC328F"/>
    <w:rsid w:val="00FC3364"/>
    <w:rsid w:val="00FC4428"/>
    <w:rsid w:val="00FC58D9"/>
    <w:rsid w:val="00FC5CB2"/>
    <w:rsid w:val="00FC5DD9"/>
    <w:rsid w:val="00FC5EF2"/>
    <w:rsid w:val="00FC645B"/>
    <w:rsid w:val="00FC668C"/>
    <w:rsid w:val="00FC7702"/>
    <w:rsid w:val="00FC79A0"/>
    <w:rsid w:val="00FD0707"/>
    <w:rsid w:val="00FD15EC"/>
    <w:rsid w:val="00FD1BFF"/>
    <w:rsid w:val="00FD24DF"/>
    <w:rsid w:val="00FD2FC7"/>
    <w:rsid w:val="00FD3091"/>
    <w:rsid w:val="00FD4554"/>
    <w:rsid w:val="00FD54BE"/>
    <w:rsid w:val="00FD5583"/>
    <w:rsid w:val="00FD5B62"/>
    <w:rsid w:val="00FD5C10"/>
    <w:rsid w:val="00FD6455"/>
    <w:rsid w:val="00FD67E4"/>
    <w:rsid w:val="00FD682A"/>
    <w:rsid w:val="00FD6AAA"/>
    <w:rsid w:val="00FD7ED8"/>
    <w:rsid w:val="00FD7F09"/>
    <w:rsid w:val="00FE0058"/>
    <w:rsid w:val="00FE047E"/>
    <w:rsid w:val="00FE06F5"/>
    <w:rsid w:val="00FE0CE0"/>
    <w:rsid w:val="00FE120F"/>
    <w:rsid w:val="00FE16FC"/>
    <w:rsid w:val="00FE20EB"/>
    <w:rsid w:val="00FE211F"/>
    <w:rsid w:val="00FE22C8"/>
    <w:rsid w:val="00FE23D5"/>
    <w:rsid w:val="00FE2449"/>
    <w:rsid w:val="00FE24AB"/>
    <w:rsid w:val="00FE27E8"/>
    <w:rsid w:val="00FE2B6A"/>
    <w:rsid w:val="00FE35BB"/>
    <w:rsid w:val="00FE3D6E"/>
    <w:rsid w:val="00FE3F05"/>
    <w:rsid w:val="00FE4B60"/>
    <w:rsid w:val="00FE5771"/>
    <w:rsid w:val="00FE5F11"/>
    <w:rsid w:val="00FE60AA"/>
    <w:rsid w:val="00FE60F3"/>
    <w:rsid w:val="00FE6171"/>
    <w:rsid w:val="00FE6FE4"/>
    <w:rsid w:val="00FE7529"/>
    <w:rsid w:val="00FE797A"/>
    <w:rsid w:val="00FE7E09"/>
    <w:rsid w:val="00FE7FB2"/>
    <w:rsid w:val="00FF041A"/>
    <w:rsid w:val="00FF07F1"/>
    <w:rsid w:val="00FF102B"/>
    <w:rsid w:val="00FF17B8"/>
    <w:rsid w:val="00FF3296"/>
    <w:rsid w:val="00FF377C"/>
    <w:rsid w:val="00FF3BD7"/>
    <w:rsid w:val="00FF43B7"/>
    <w:rsid w:val="00FF45E1"/>
    <w:rsid w:val="00FF4726"/>
    <w:rsid w:val="00FF4A4F"/>
    <w:rsid w:val="00FF65EA"/>
    <w:rsid w:val="00FF6D44"/>
    <w:rsid w:val="00FF779B"/>
    <w:rsid w:val="00FF7D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hapeDefaults>
    <o:shapedefaults v:ext="edit" spidmax="400385"/>
    <o:shapelayout v:ext="edit">
      <o:idmap v:ext="edit" data="1"/>
    </o:shapelayout>
  </w:shapeDefaults>
  <w:decimalSymbol w:val="."/>
  <w:listSeparator w:val=","/>
  <w14:docId w14:val="0B655AB9"/>
  <w15:docId w15:val="{7FE3B738-CC96-444D-92AB-4AFA3191C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locked="1" w:qFormat="1"/>
    <w:lsdException w:name="heading 1" w:locked="1" w:qFormat="1"/>
    <w:lsdException w:name="heading 2" w:locked="1" w:qFormat="1"/>
    <w:lsdException w:name="heading 3" w:lock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locked="1"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99"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484365"/>
    <w:rPr>
      <w:rFonts w:ascii="Calibri" w:hAnsi="Calibri"/>
      <w:sz w:val="24"/>
      <w:szCs w:val="24"/>
    </w:rPr>
  </w:style>
  <w:style w:type="paragraph" w:styleId="Heading1">
    <w:name w:val="heading 1"/>
    <w:basedOn w:val="Normal"/>
    <w:next w:val="Normal"/>
    <w:link w:val="Heading1Char"/>
    <w:qFormat/>
    <w:rsid w:val="00411FC1"/>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1"/>
    <w:qFormat/>
    <w:rsid w:val="00411FC1"/>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1"/>
    <w:qFormat/>
    <w:rsid w:val="00411FC1"/>
    <w:pPr>
      <w:keepNext/>
      <w:spacing w:before="240" w:after="60"/>
      <w:outlineLvl w:val="2"/>
    </w:pPr>
    <w:rPr>
      <w:rFonts w:ascii="Arial" w:hAnsi="Arial" w:cs="Arial"/>
      <w:b/>
      <w:bCs/>
      <w:sz w:val="26"/>
      <w:szCs w:val="26"/>
    </w:rPr>
  </w:style>
  <w:style w:type="paragraph" w:styleId="Heading4">
    <w:name w:val="heading 4"/>
    <w:basedOn w:val="Normal"/>
    <w:next w:val="Normal"/>
    <w:link w:val="Heading4Char"/>
    <w:semiHidden/>
    <w:unhideWhenUsed/>
    <w:qFormat/>
    <w:locked/>
    <w:rsid w:val="00B01662"/>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A4025E"/>
    <w:rPr>
      <w:rFonts w:ascii="Arial" w:hAnsi="Arial" w:cs="Arial"/>
      <w:b/>
      <w:bCs/>
      <w:kern w:val="32"/>
      <w:sz w:val="32"/>
      <w:szCs w:val="32"/>
      <w:lang w:val="en-US" w:eastAsia="en-US" w:bidi="ar-SA"/>
    </w:rPr>
  </w:style>
  <w:style w:type="character" w:customStyle="1" w:styleId="Heading2Char1">
    <w:name w:val="Heading 2 Char1"/>
    <w:link w:val="Heading2"/>
    <w:locked/>
    <w:rsid w:val="00283592"/>
    <w:rPr>
      <w:rFonts w:ascii="Arial" w:hAnsi="Arial" w:cs="Arial"/>
      <w:b/>
      <w:bCs/>
      <w:i/>
      <w:iCs/>
      <w:sz w:val="28"/>
      <w:szCs w:val="28"/>
      <w:lang w:val="en-US" w:eastAsia="en-US" w:bidi="ar-SA"/>
    </w:rPr>
  </w:style>
  <w:style w:type="character" w:customStyle="1" w:styleId="Heading3Char1">
    <w:name w:val="Heading 3 Char1"/>
    <w:link w:val="Heading3"/>
    <w:locked/>
    <w:rsid w:val="00411FC1"/>
    <w:rPr>
      <w:rFonts w:ascii="Arial" w:hAnsi="Arial" w:cs="Arial"/>
      <w:b/>
      <w:bCs/>
      <w:sz w:val="26"/>
      <w:szCs w:val="26"/>
      <w:lang w:val="en-US" w:eastAsia="en-US" w:bidi="ar-SA"/>
    </w:rPr>
  </w:style>
  <w:style w:type="paragraph" w:styleId="Footer">
    <w:name w:val="footer"/>
    <w:basedOn w:val="Normal"/>
    <w:rsid w:val="007F2912"/>
    <w:pPr>
      <w:tabs>
        <w:tab w:val="center" w:pos="4320"/>
        <w:tab w:val="right" w:pos="8640"/>
      </w:tabs>
    </w:pPr>
  </w:style>
  <w:style w:type="character" w:styleId="PageNumber">
    <w:name w:val="page number"/>
    <w:rsid w:val="007F2912"/>
    <w:rPr>
      <w:rFonts w:cs="Times New Roman"/>
    </w:rPr>
  </w:style>
  <w:style w:type="paragraph" w:styleId="FootnoteText">
    <w:name w:val="footnote text"/>
    <w:aliases w:val="Footnote Text1 Char,Footnote Text Char Ch,Footnote Text Char Char,Footnote Text Char1 Char,Footnote Text Char Char Char,Footnote Text Char1 Char Char Char,Footnote Text Char Char1 Char Char Char,TBG Style"/>
    <w:basedOn w:val="Normal"/>
    <w:link w:val="FootnoteTextChar1"/>
    <w:rsid w:val="0094538D"/>
    <w:rPr>
      <w:rFonts w:ascii="Times New Roman" w:hAnsi="Times New Roman"/>
      <w:sz w:val="20"/>
      <w:szCs w:val="20"/>
    </w:rPr>
  </w:style>
  <w:style w:type="character" w:customStyle="1" w:styleId="FootnoteTextChar1">
    <w:name w:val="Footnote Text Char1"/>
    <w:aliases w:val="Footnote Text1 Char Char,Footnote Text Char Ch Char,Footnote Text Char Char Char2,Footnote Text Char1 Char Char1,Footnote Text Char Char Char Char1,Footnote Text Char1 Char Char Char Char1,Footnote Text Char Char1 Char Char Char Char"/>
    <w:link w:val="FootnoteText"/>
    <w:locked/>
    <w:rsid w:val="008A3E42"/>
    <w:rPr>
      <w:rFonts w:cs="Times New Roman"/>
      <w:lang w:val="en-US" w:eastAsia="en-US" w:bidi="ar-SA"/>
    </w:rPr>
  </w:style>
  <w:style w:type="character" w:styleId="FootnoteReference">
    <w:name w:val="footnote reference"/>
    <w:aliases w:val="o"/>
    <w:rsid w:val="0094538D"/>
    <w:rPr>
      <w:rFonts w:cs="Times New Roman"/>
      <w:vertAlign w:val="superscript"/>
    </w:rPr>
  </w:style>
  <w:style w:type="paragraph" w:styleId="Header">
    <w:name w:val="header"/>
    <w:basedOn w:val="Normal"/>
    <w:rsid w:val="00484164"/>
    <w:pPr>
      <w:tabs>
        <w:tab w:val="center" w:pos="4320"/>
        <w:tab w:val="right" w:pos="8640"/>
      </w:tabs>
    </w:pPr>
  </w:style>
  <w:style w:type="paragraph" w:styleId="TOC1">
    <w:name w:val="toc 1"/>
    <w:basedOn w:val="Normal"/>
    <w:next w:val="Normal"/>
    <w:autoRedefine/>
    <w:uiPriority w:val="39"/>
    <w:rsid w:val="009D1511"/>
    <w:pPr>
      <w:tabs>
        <w:tab w:val="right" w:leader="dot" w:pos="8630"/>
      </w:tabs>
      <w:jc w:val="center"/>
    </w:pPr>
    <w:rPr>
      <w:b/>
    </w:rPr>
  </w:style>
  <w:style w:type="paragraph" w:styleId="TOC2">
    <w:name w:val="toc 2"/>
    <w:basedOn w:val="Normal"/>
    <w:next w:val="Normal"/>
    <w:autoRedefine/>
    <w:uiPriority w:val="39"/>
    <w:rsid w:val="000B5A5D"/>
    <w:pPr>
      <w:ind w:left="240"/>
    </w:pPr>
  </w:style>
  <w:style w:type="paragraph" w:styleId="TOC3">
    <w:name w:val="toc 3"/>
    <w:basedOn w:val="Normal"/>
    <w:next w:val="Normal"/>
    <w:autoRedefine/>
    <w:uiPriority w:val="39"/>
    <w:rsid w:val="000B35D6"/>
    <w:pPr>
      <w:tabs>
        <w:tab w:val="right" w:leader="dot" w:pos="8630"/>
      </w:tabs>
      <w:ind w:left="720"/>
    </w:pPr>
  </w:style>
  <w:style w:type="character" w:styleId="Hyperlink">
    <w:name w:val="Hyperlink"/>
    <w:uiPriority w:val="99"/>
    <w:rsid w:val="000B5A5D"/>
    <w:rPr>
      <w:rFonts w:cs="Times New Roman"/>
      <w:color w:val="0000FF"/>
      <w:u w:val="single"/>
    </w:rPr>
  </w:style>
  <w:style w:type="paragraph" w:styleId="Caption">
    <w:name w:val="caption"/>
    <w:basedOn w:val="Normal"/>
    <w:next w:val="Normal"/>
    <w:link w:val="CaptionChar"/>
    <w:qFormat/>
    <w:rsid w:val="006169CA"/>
    <w:rPr>
      <w:rFonts w:ascii="Times New Roman" w:hAnsi="Times New Roman"/>
      <w:b/>
      <w:bCs/>
      <w:sz w:val="20"/>
      <w:szCs w:val="20"/>
    </w:rPr>
  </w:style>
  <w:style w:type="character" w:customStyle="1" w:styleId="CaptionChar">
    <w:name w:val="Caption Char"/>
    <w:link w:val="Caption"/>
    <w:locked/>
    <w:rsid w:val="00283592"/>
    <w:rPr>
      <w:rFonts w:cs="Times New Roman"/>
      <w:b/>
      <w:bCs/>
      <w:lang w:val="en-US" w:eastAsia="en-US" w:bidi="ar-SA"/>
    </w:rPr>
  </w:style>
  <w:style w:type="paragraph" w:styleId="TableofFigures">
    <w:name w:val="table of figures"/>
    <w:basedOn w:val="Normal"/>
    <w:next w:val="Normal"/>
    <w:uiPriority w:val="99"/>
    <w:rsid w:val="006169CA"/>
  </w:style>
  <w:style w:type="paragraph" w:customStyle="1" w:styleId="TableCaption">
    <w:name w:val="Table Caption"/>
    <w:basedOn w:val="Caption"/>
    <w:link w:val="TableCaptionChar"/>
    <w:qFormat/>
    <w:rsid w:val="0095593F"/>
    <w:pPr>
      <w:spacing w:before="240" w:after="120"/>
      <w:jc w:val="center"/>
    </w:pPr>
    <w:rPr>
      <w:rFonts w:ascii="Calibri" w:hAnsi="Calibri"/>
      <w:sz w:val="24"/>
    </w:rPr>
  </w:style>
  <w:style w:type="character" w:customStyle="1" w:styleId="TableCaptionChar">
    <w:name w:val="Table Caption Char"/>
    <w:link w:val="TableCaption"/>
    <w:locked/>
    <w:rsid w:val="0095593F"/>
    <w:rPr>
      <w:rFonts w:ascii="Calibri" w:hAnsi="Calibri"/>
      <w:b/>
      <w:bCs/>
      <w:sz w:val="24"/>
    </w:rPr>
  </w:style>
  <w:style w:type="paragraph" w:customStyle="1" w:styleId="FigureCaption">
    <w:name w:val="Figure Caption"/>
    <w:basedOn w:val="TableCaption"/>
    <w:link w:val="FigureCaptionChar"/>
    <w:qFormat/>
    <w:rsid w:val="0097115E"/>
  </w:style>
  <w:style w:type="character" w:customStyle="1" w:styleId="FigureCaptionChar">
    <w:name w:val="Figure Caption Char"/>
    <w:link w:val="FigureCaption"/>
    <w:locked/>
    <w:rsid w:val="0097115E"/>
    <w:rPr>
      <w:rFonts w:ascii="Calibri" w:hAnsi="Calibri"/>
      <w:b/>
      <w:bCs/>
      <w:sz w:val="24"/>
    </w:rPr>
  </w:style>
  <w:style w:type="paragraph" w:customStyle="1" w:styleId="EPRITitle">
    <w:name w:val="EPRI Title"/>
    <w:rsid w:val="00111FB1"/>
    <w:pPr>
      <w:spacing w:before="240" w:after="60"/>
      <w:ind w:left="1195" w:right="1195"/>
    </w:pPr>
    <w:rPr>
      <w:rFonts w:ascii="Helvetica" w:hAnsi="Helvetica"/>
      <w:b/>
      <w:sz w:val="40"/>
    </w:rPr>
  </w:style>
  <w:style w:type="paragraph" w:customStyle="1" w:styleId="EPRISubtitle">
    <w:name w:val="EPRI Subtitle"/>
    <w:rsid w:val="00111FB1"/>
    <w:pPr>
      <w:spacing w:after="60"/>
      <w:ind w:left="1195" w:right="1195"/>
    </w:pPr>
    <w:rPr>
      <w:rFonts w:ascii="Helvetica" w:hAnsi="Helvetica"/>
      <w:noProof/>
      <w:sz w:val="30"/>
    </w:rPr>
  </w:style>
  <w:style w:type="paragraph" w:customStyle="1" w:styleId="EPRIOI">
    <w:name w:val="EPRI OI#"/>
    <w:rsid w:val="00111FB1"/>
    <w:pPr>
      <w:spacing w:before="140" w:after="480"/>
      <w:ind w:left="1195" w:right="1195"/>
    </w:pPr>
    <w:rPr>
      <w:rFonts w:ascii="Helvetica" w:hAnsi="Helvetica"/>
      <w:b/>
      <w:sz w:val="24"/>
    </w:rPr>
  </w:style>
  <w:style w:type="paragraph" w:customStyle="1" w:styleId="EPRITitleText">
    <w:name w:val="EPRI Title Text"/>
    <w:rsid w:val="00111FB1"/>
    <w:pPr>
      <w:spacing w:before="140" w:after="1200"/>
      <w:ind w:left="1195" w:right="1195"/>
    </w:pPr>
    <w:rPr>
      <w:rFonts w:ascii="Helvetica" w:hAnsi="Helvetica"/>
      <w:sz w:val="24"/>
    </w:rPr>
  </w:style>
  <w:style w:type="paragraph" w:styleId="BalloonText">
    <w:name w:val="Balloon Text"/>
    <w:basedOn w:val="Normal"/>
    <w:semiHidden/>
    <w:rsid w:val="004F6104"/>
    <w:rPr>
      <w:rFonts w:ascii="Tahoma" w:hAnsi="Tahoma" w:cs="Tahoma"/>
      <w:sz w:val="16"/>
      <w:szCs w:val="16"/>
    </w:rPr>
  </w:style>
  <w:style w:type="table" w:styleId="TableGrid">
    <w:name w:val="Table Grid"/>
    <w:basedOn w:val="TableNormal"/>
    <w:uiPriority w:val="39"/>
    <w:rsid w:val="002E37C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3Char">
    <w:name w:val="Heading 3 Char"/>
    <w:rsid w:val="00283592"/>
    <w:rPr>
      <w:rFonts w:ascii="Arial" w:hAnsi="Arial" w:cs="Arial"/>
      <w:b/>
      <w:bCs/>
      <w:sz w:val="26"/>
      <w:szCs w:val="26"/>
      <w:lang w:val="en-US" w:eastAsia="en-US" w:bidi="ar-SA"/>
    </w:rPr>
  </w:style>
  <w:style w:type="character" w:styleId="CommentReference">
    <w:name w:val="annotation reference"/>
    <w:rsid w:val="00A8020B"/>
    <w:rPr>
      <w:rFonts w:cs="Times New Roman"/>
      <w:sz w:val="16"/>
      <w:szCs w:val="16"/>
    </w:rPr>
  </w:style>
  <w:style w:type="paragraph" w:styleId="CommentText">
    <w:name w:val="annotation text"/>
    <w:basedOn w:val="Normal"/>
    <w:link w:val="CommentTextChar"/>
    <w:rsid w:val="00A8020B"/>
    <w:rPr>
      <w:rFonts w:ascii="Times New Roman" w:hAnsi="Times New Roman"/>
      <w:sz w:val="20"/>
      <w:szCs w:val="20"/>
      <w:lang w:val="x-none" w:eastAsia="x-none"/>
    </w:rPr>
  </w:style>
  <w:style w:type="character" w:customStyle="1" w:styleId="CommentTextChar">
    <w:name w:val="Comment Text Char"/>
    <w:link w:val="CommentText"/>
    <w:locked/>
    <w:rsid w:val="00A8020B"/>
    <w:rPr>
      <w:rFonts w:cs="Times New Roman"/>
    </w:rPr>
  </w:style>
  <w:style w:type="paragraph" w:styleId="CommentSubject">
    <w:name w:val="annotation subject"/>
    <w:basedOn w:val="CommentText"/>
    <w:next w:val="CommentText"/>
    <w:link w:val="CommentSubjectChar"/>
    <w:rsid w:val="00A8020B"/>
    <w:rPr>
      <w:b/>
      <w:bCs/>
    </w:rPr>
  </w:style>
  <w:style w:type="character" w:customStyle="1" w:styleId="CommentSubjectChar">
    <w:name w:val="Comment Subject Char"/>
    <w:link w:val="CommentSubject"/>
    <w:locked/>
    <w:rsid w:val="00A8020B"/>
    <w:rPr>
      <w:rFonts w:cs="Times New Roman"/>
      <w:b/>
      <w:bCs/>
    </w:rPr>
  </w:style>
  <w:style w:type="paragraph" w:styleId="EndnoteText">
    <w:name w:val="endnote text"/>
    <w:basedOn w:val="Normal"/>
    <w:link w:val="EndnoteTextChar"/>
    <w:rsid w:val="00363778"/>
    <w:rPr>
      <w:rFonts w:ascii="Times New Roman" w:hAnsi="Times New Roman"/>
      <w:sz w:val="20"/>
      <w:szCs w:val="20"/>
      <w:lang w:val="x-none" w:eastAsia="x-none"/>
    </w:rPr>
  </w:style>
  <w:style w:type="character" w:customStyle="1" w:styleId="EndnoteTextChar">
    <w:name w:val="Endnote Text Char"/>
    <w:link w:val="EndnoteText"/>
    <w:locked/>
    <w:rsid w:val="00363778"/>
    <w:rPr>
      <w:rFonts w:cs="Times New Roman"/>
    </w:rPr>
  </w:style>
  <w:style w:type="character" w:styleId="EndnoteReference">
    <w:name w:val="endnote reference"/>
    <w:rsid w:val="00363778"/>
    <w:rPr>
      <w:rFonts w:cs="Times New Roman"/>
      <w:vertAlign w:val="superscript"/>
    </w:rPr>
  </w:style>
  <w:style w:type="character" w:styleId="FollowedHyperlink">
    <w:name w:val="FollowedHyperlink"/>
    <w:rsid w:val="002F7583"/>
    <w:rPr>
      <w:color w:val="800080"/>
      <w:u w:val="single"/>
    </w:rPr>
  </w:style>
  <w:style w:type="character" w:customStyle="1" w:styleId="FootnoteTextChar">
    <w:name w:val="Footnote Text Char"/>
    <w:aliases w:val="Footnote Text1 Char Char1,Footnote Text Char Ch Char1,Footnote Text Char1 Char1,Footnote Text Char Char Char1,Footnote Text Char1 Char Char,Footnote Text Char Char Char Char,Footnote Text Char1 Char Char Char Char,TBG Style Char"/>
    <w:rsid w:val="00002343"/>
    <w:rPr>
      <w:lang w:val="en-US" w:eastAsia="en-US" w:bidi="ar-SA"/>
    </w:rPr>
  </w:style>
  <w:style w:type="character" w:customStyle="1" w:styleId="Heading2Char">
    <w:name w:val="Heading 2 Char"/>
    <w:rsid w:val="00C54C5F"/>
    <w:rPr>
      <w:rFonts w:ascii="Arial" w:hAnsi="Arial" w:cs="Arial"/>
      <w:b/>
      <w:bCs/>
      <w:i/>
      <w:iCs/>
      <w:sz w:val="24"/>
      <w:szCs w:val="28"/>
      <w:lang w:val="en-US" w:eastAsia="en-US" w:bidi="ar-SA"/>
    </w:rPr>
  </w:style>
  <w:style w:type="paragraph" w:styleId="DocumentMap">
    <w:name w:val="Document Map"/>
    <w:basedOn w:val="Normal"/>
    <w:semiHidden/>
    <w:rsid w:val="000E553B"/>
    <w:pPr>
      <w:shd w:val="clear" w:color="auto" w:fill="000080"/>
    </w:pPr>
    <w:rPr>
      <w:rFonts w:ascii="Tahoma" w:hAnsi="Tahoma" w:cs="Tahoma"/>
      <w:sz w:val="20"/>
      <w:szCs w:val="20"/>
    </w:rPr>
  </w:style>
  <w:style w:type="paragraph" w:styleId="NormalWeb">
    <w:name w:val="Normal (Web)"/>
    <w:basedOn w:val="Normal"/>
    <w:uiPriority w:val="99"/>
    <w:unhideWhenUsed/>
    <w:rsid w:val="00530476"/>
    <w:pPr>
      <w:spacing w:before="100" w:beforeAutospacing="1" w:after="100" w:afterAutospacing="1"/>
    </w:pPr>
    <w:rPr>
      <w:rFonts w:ascii="Times New Roman" w:hAnsi="Times New Roman"/>
    </w:rPr>
  </w:style>
  <w:style w:type="paragraph" w:customStyle="1" w:styleId="TableHeader">
    <w:name w:val="Table Header"/>
    <w:qFormat/>
    <w:rsid w:val="008E5D4C"/>
    <w:pPr>
      <w:spacing w:before="100" w:after="100"/>
      <w:jc w:val="center"/>
    </w:pPr>
    <w:rPr>
      <w:rFonts w:ascii="Arial" w:eastAsia="Calibri" w:hAnsi="Arial"/>
      <w:b/>
      <w:color w:val="FFFFFF"/>
      <w:szCs w:val="22"/>
    </w:rPr>
  </w:style>
  <w:style w:type="paragraph" w:customStyle="1" w:styleId="TableText">
    <w:name w:val="Table Text"/>
    <w:qFormat/>
    <w:rsid w:val="008E5D4C"/>
    <w:pPr>
      <w:spacing w:before="60" w:after="60"/>
      <w:jc w:val="center"/>
    </w:pPr>
    <w:rPr>
      <w:rFonts w:ascii="Arial" w:eastAsia="Calibri" w:hAnsi="Arial"/>
      <w:sz w:val="18"/>
      <w:szCs w:val="22"/>
    </w:rPr>
  </w:style>
  <w:style w:type="character" w:customStyle="1" w:styleId="Heading4Char">
    <w:name w:val="Heading 4 Char"/>
    <w:basedOn w:val="DefaultParagraphFont"/>
    <w:link w:val="Heading4"/>
    <w:semiHidden/>
    <w:rsid w:val="00B01662"/>
    <w:rPr>
      <w:rFonts w:asciiTheme="majorHAnsi" w:eastAsiaTheme="majorEastAsia" w:hAnsiTheme="majorHAnsi" w:cstheme="majorBidi"/>
      <w:i/>
      <w:iCs/>
      <w:color w:val="2E74B5" w:themeColor="accent1" w:themeShade="BF"/>
      <w:sz w:val="24"/>
      <w:szCs w:val="24"/>
    </w:rPr>
  </w:style>
  <w:style w:type="paragraph" w:styleId="ListParagraph">
    <w:name w:val="List Paragraph"/>
    <w:basedOn w:val="Normal"/>
    <w:uiPriority w:val="34"/>
    <w:qFormat/>
    <w:rsid w:val="00B01662"/>
    <w:pPr>
      <w:ind w:left="720"/>
      <w:contextualSpacing/>
    </w:pPr>
    <w:rPr>
      <w:rFonts w:ascii="Times New Roman" w:hAnsi="Times New Roman"/>
      <w:szCs w:val="20"/>
    </w:rPr>
  </w:style>
  <w:style w:type="paragraph" w:styleId="Revision">
    <w:name w:val="Revision"/>
    <w:hidden/>
    <w:uiPriority w:val="99"/>
    <w:semiHidden/>
    <w:rsid w:val="003438FF"/>
    <w:rPr>
      <w:rFonts w:ascii="Calibri" w:hAnsi="Calibri"/>
      <w:sz w:val="24"/>
      <w:szCs w:val="24"/>
    </w:rPr>
  </w:style>
  <w:style w:type="character" w:styleId="PlaceholderText">
    <w:name w:val="Placeholder Text"/>
    <w:basedOn w:val="DefaultParagraphFont"/>
    <w:uiPriority w:val="99"/>
    <w:semiHidden/>
    <w:rsid w:val="00EB476C"/>
    <w:rPr>
      <w:color w:val="808080"/>
    </w:rPr>
  </w:style>
  <w:style w:type="paragraph" w:styleId="BodyText">
    <w:name w:val="Body Text"/>
    <w:basedOn w:val="Normal"/>
    <w:link w:val="BodyTextChar"/>
    <w:rsid w:val="000409E9"/>
    <w:pPr>
      <w:spacing w:after="120"/>
    </w:pPr>
    <w:rPr>
      <w:szCs w:val="32"/>
    </w:rPr>
  </w:style>
  <w:style w:type="character" w:customStyle="1" w:styleId="BodyTextChar">
    <w:name w:val="Body Text Char"/>
    <w:basedOn w:val="DefaultParagraphFont"/>
    <w:link w:val="BodyText"/>
    <w:rsid w:val="000409E9"/>
    <w:rPr>
      <w:rFonts w:ascii="Calibri" w:hAnsi="Calibri"/>
      <w:sz w:val="24"/>
      <w:szCs w:val="32"/>
    </w:rPr>
  </w:style>
  <w:style w:type="paragraph" w:styleId="PlainText">
    <w:name w:val="Plain Text"/>
    <w:basedOn w:val="Normal"/>
    <w:link w:val="PlainTextChar"/>
    <w:uiPriority w:val="99"/>
    <w:semiHidden/>
    <w:unhideWhenUsed/>
    <w:rsid w:val="008835B3"/>
    <w:rPr>
      <w:rFonts w:eastAsiaTheme="minorHAnsi" w:cstheme="minorBidi"/>
      <w:sz w:val="22"/>
      <w:szCs w:val="21"/>
    </w:rPr>
  </w:style>
  <w:style w:type="character" w:customStyle="1" w:styleId="PlainTextChar">
    <w:name w:val="Plain Text Char"/>
    <w:basedOn w:val="DefaultParagraphFont"/>
    <w:link w:val="PlainText"/>
    <w:uiPriority w:val="99"/>
    <w:semiHidden/>
    <w:rsid w:val="008835B3"/>
    <w:rPr>
      <w:rFonts w:ascii="Calibri" w:eastAsiaTheme="minorHAnsi" w:hAnsi="Calibri" w:cstheme="minorBidi"/>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sChild>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5835024">
      <w:bodyDiv w:val="1"/>
      <w:marLeft w:val="0"/>
      <w:marRight w:val="0"/>
      <w:marTop w:val="0"/>
      <w:marBottom w:val="0"/>
      <w:divBdr>
        <w:top w:val="none" w:sz="0" w:space="0" w:color="auto"/>
        <w:left w:val="none" w:sz="0" w:space="0" w:color="auto"/>
        <w:bottom w:val="none" w:sz="0" w:space="0" w:color="auto"/>
        <w:right w:val="none" w:sz="0" w:space="0" w:color="auto"/>
      </w:divBdr>
    </w:div>
    <w:div w:id="37097024">
      <w:bodyDiv w:val="1"/>
      <w:marLeft w:val="0"/>
      <w:marRight w:val="0"/>
      <w:marTop w:val="0"/>
      <w:marBottom w:val="0"/>
      <w:divBdr>
        <w:top w:val="none" w:sz="0" w:space="0" w:color="auto"/>
        <w:left w:val="none" w:sz="0" w:space="0" w:color="auto"/>
        <w:bottom w:val="none" w:sz="0" w:space="0" w:color="auto"/>
        <w:right w:val="none" w:sz="0" w:space="0" w:color="auto"/>
      </w:divBdr>
    </w:div>
    <w:div w:id="40713041">
      <w:bodyDiv w:val="1"/>
      <w:marLeft w:val="0"/>
      <w:marRight w:val="0"/>
      <w:marTop w:val="0"/>
      <w:marBottom w:val="0"/>
      <w:divBdr>
        <w:top w:val="none" w:sz="0" w:space="0" w:color="auto"/>
        <w:left w:val="none" w:sz="0" w:space="0" w:color="auto"/>
        <w:bottom w:val="none" w:sz="0" w:space="0" w:color="auto"/>
        <w:right w:val="none" w:sz="0" w:space="0" w:color="auto"/>
      </w:divBdr>
    </w:div>
    <w:div w:id="54396068">
      <w:bodyDiv w:val="1"/>
      <w:marLeft w:val="0"/>
      <w:marRight w:val="0"/>
      <w:marTop w:val="0"/>
      <w:marBottom w:val="0"/>
      <w:divBdr>
        <w:top w:val="none" w:sz="0" w:space="0" w:color="auto"/>
        <w:left w:val="none" w:sz="0" w:space="0" w:color="auto"/>
        <w:bottom w:val="none" w:sz="0" w:space="0" w:color="auto"/>
        <w:right w:val="none" w:sz="0" w:space="0" w:color="auto"/>
      </w:divBdr>
    </w:div>
    <w:div w:id="66222249">
      <w:bodyDiv w:val="1"/>
      <w:marLeft w:val="0"/>
      <w:marRight w:val="0"/>
      <w:marTop w:val="0"/>
      <w:marBottom w:val="0"/>
      <w:divBdr>
        <w:top w:val="none" w:sz="0" w:space="0" w:color="auto"/>
        <w:left w:val="none" w:sz="0" w:space="0" w:color="auto"/>
        <w:bottom w:val="none" w:sz="0" w:space="0" w:color="auto"/>
        <w:right w:val="none" w:sz="0" w:space="0" w:color="auto"/>
      </w:divBdr>
    </w:div>
    <w:div w:id="87044916">
      <w:bodyDiv w:val="1"/>
      <w:marLeft w:val="0"/>
      <w:marRight w:val="0"/>
      <w:marTop w:val="0"/>
      <w:marBottom w:val="0"/>
      <w:divBdr>
        <w:top w:val="none" w:sz="0" w:space="0" w:color="auto"/>
        <w:left w:val="none" w:sz="0" w:space="0" w:color="auto"/>
        <w:bottom w:val="none" w:sz="0" w:space="0" w:color="auto"/>
        <w:right w:val="none" w:sz="0" w:space="0" w:color="auto"/>
      </w:divBdr>
    </w:div>
    <w:div w:id="87383989">
      <w:bodyDiv w:val="1"/>
      <w:marLeft w:val="0"/>
      <w:marRight w:val="0"/>
      <w:marTop w:val="0"/>
      <w:marBottom w:val="0"/>
      <w:divBdr>
        <w:top w:val="none" w:sz="0" w:space="0" w:color="auto"/>
        <w:left w:val="none" w:sz="0" w:space="0" w:color="auto"/>
        <w:bottom w:val="none" w:sz="0" w:space="0" w:color="auto"/>
        <w:right w:val="none" w:sz="0" w:space="0" w:color="auto"/>
      </w:divBdr>
    </w:div>
    <w:div w:id="94403000">
      <w:bodyDiv w:val="1"/>
      <w:marLeft w:val="0"/>
      <w:marRight w:val="0"/>
      <w:marTop w:val="0"/>
      <w:marBottom w:val="0"/>
      <w:divBdr>
        <w:top w:val="none" w:sz="0" w:space="0" w:color="auto"/>
        <w:left w:val="none" w:sz="0" w:space="0" w:color="auto"/>
        <w:bottom w:val="none" w:sz="0" w:space="0" w:color="auto"/>
        <w:right w:val="none" w:sz="0" w:space="0" w:color="auto"/>
      </w:divBdr>
    </w:div>
    <w:div w:id="107511727">
      <w:bodyDiv w:val="1"/>
      <w:marLeft w:val="0"/>
      <w:marRight w:val="0"/>
      <w:marTop w:val="0"/>
      <w:marBottom w:val="0"/>
      <w:divBdr>
        <w:top w:val="none" w:sz="0" w:space="0" w:color="auto"/>
        <w:left w:val="none" w:sz="0" w:space="0" w:color="auto"/>
        <w:bottom w:val="none" w:sz="0" w:space="0" w:color="auto"/>
        <w:right w:val="none" w:sz="0" w:space="0" w:color="auto"/>
      </w:divBdr>
    </w:div>
    <w:div w:id="113065604">
      <w:bodyDiv w:val="1"/>
      <w:marLeft w:val="0"/>
      <w:marRight w:val="0"/>
      <w:marTop w:val="0"/>
      <w:marBottom w:val="0"/>
      <w:divBdr>
        <w:top w:val="none" w:sz="0" w:space="0" w:color="auto"/>
        <w:left w:val="none" w:sz="0" w:space="0" w:color="auto"/>
        <w:bottom w:val="none" w:sz="0" w:space="0" w:color="auto"/>
        <w:right w:val="none" w:sz="0" w:space="0" w:color="auto"/>
      </w:divBdr>
    </w:div>
    <w:div w:id="133984911">
      <w:bodyDiv w:val="1"/>
      <w:marLeft w:val="0"/>
      <w:marRight w:val="0"/>
      <w:marTop w:val="0"/>
      <w:marBottom w:val="0"/>
      <w:divBdr>
        <w:top w:val="none" w:sz="0" w:space="0" w:color="auto"/>
        <w:left w:val="none" w:sz="0" w:space="0" w:color="auto"/>
        <w:bottom w:val="none" w:sz="0" w:space="0" w:color="auto"/>
        <w:right w:val="none" w:sz="0" w:space="0" w:color="auto"/>
      </w:divBdr>
    </w:div>
    <w:div w:id="144392931">
      <w:bodyDiv w:val="1"/>
      <w:marLeft w:val="0"/>
      <w:marRight w:val="0"/>
      <w:marTop w:val="0"/>
      <w:marBottom w:val="0"/>
      <w:divBdr>
        <w:top w:val="none" w:sz="0" w:space="0" w:color="auto"/>
        <w:left w:val="none" w:sz="0" w:space="0" w:color="auto"/>
        <w:bottom w:val="none" w:sz="0" w:space="0" w:color="auto"/>
        <w:right w:val="none" w:sz="0" w:space="0" w:color="auto"/>
      </w:divBdr>
    </w:div>
    <w:div w:id="147941816">
      <w:bodyDiv w:val="1"/>
      <w:marLeft w:val="0"/>
      <w:marRight w:val="0"/>
      <w:marTop w:val="0"/>
      <w:marBottom w:val="0"/>
      <w:divBdr>
        <w:top w:val="none" w:sz="0" w:space="0" w:color="auto"/>
        <w:left w:val="none" w:sz="0" w:space="0" w:color="auto"/>
        <w:bottom w:val="none" w:sz="0" w:space="0" w:color="auto"/>
        <w:right w:val="none" w:sz="0" w:space="0" w:color="auto"/>
      </w:divBdr>
    </w:div>
    <w:div w:id="170343380">
      <w:bodyDiv w:val="1"/>
      <w:marLeft w:val="0"/>
      <w:marRight w:val="0"/>
      <w:marTop w:val="0"/>
      <w:marBottom w:val="0"/>
      <w:divBdr>
        <w:top w:val="none" w:sz="0" w:space="0" w:color="auto"/>
        <w:left w:val="none" w:sz="0" w:space="0" w:color="auto"/>
        <w:bottom w:val="none" w:sz="0" w:space="0" w:color="auto"/>
        <w:right w:val="none" w:sz="0" w:space="0" w:color="auto"/>
      </w:divBdr>
    </w:div>
    <w:div w:id="179901336">
      <w:bodyDiv w:val="1"/>
      <w:marLeft w:val="0"/>
      <w:marRight w:val="0"/>
      <w:marTop w:val="0"/>
      <w:marBottom w:val="0"/>
      <w:divBdr>
        <w:top w:val="none" w:sz="0" w:space="0" w:color="auto"/>
        <w:left w:val="none" w:sz="0" w:space="0" w:color="auto"/>
        <w:bottom w:val="none" w:sz="0" w:space="0" w:color="auto"/>
        <w:right w:val="none" w:sz="0" w:space="0" w:color="auto"/>
      </w:divBdr>
    </w:div>
    <w:div w:id="182474036">
      <w:bodyDiv w:val="1"/>
      <w:marLeft w:val="0"/>
      <w:marRight w:val="0"/>
      <w:marTop w:val="0"/>
      <w:marBottom w:val="0"/>
      <w:divBdr>
        <w:top w:val="none" w:sz="0" w:space="0" w:color="auto"/>
        <w:left w:val="none" w:sz="0" w:space="0" w:color="auto"/>
        <w:bottom w:val="none" w:sz="0" w:space="0" w:color="auto"/>
        <w:right w:val="none" w:sz="0" w:space="0" w:color="auto"/>
      </w:divBdr>
    </w:div>
    <w:div w:id="366368127">
      <w:bodyDiv w:val="1"/>
      <w:marLeft w:val="0"/>
      <w:marRight w:val="0"/>
      <w:marTop w:val="0"/>
      <w:marBottom w:val="0"/>
      <w:divBdr>
        <w:top w:val="none" w:sz="0" w:space="0" w:color="auto"/>
        <w:left w:val="none" w:sz="0" w:space="0" w:color="auto"/>
        <w:bottom w:val="none" w:sz="0" w:space="0" w:color="auto"/>
        <w:right w:val="none" w:sz="0" w:space="0" w:color="auto"/>
      </w:divBdr>
    </w:div>
    <w:div w:id="372929563">
      <w:bodyDiv w:val="1"/>
      <w:marLeft w:val="0"/>
      <w:marRight w:val="0"/>
      <w:marTop w:val="0"/>
      <w:marBottom w:val="0"/>
      <w:divBdr>
        <w:top w:val="none" w:sz="0" w:space="0" w:color="auto"/>
        <w:left w:val="none" w:sz="0" w:space="0" w:color="auto"/>
        <w:bottom w:val="none" w:sz="0" w:space="0" w:color="auto"/>
        <w:right w:val="none" w:sz="0" w:space="0" w:color="auto"/>
      </w:divBdr>
    </w:div>
    <w:div w:id="374626455">
      <w:bodyDiv w:val="1"/>
      <w:marLeft w:val="0"/>
      <w:marRight w:val="0"/>
      <w:marTop w:val="0"/>
      <w:marBottom w:val="0"/>
      <w:divBdr>
        <w:top w:val="none" w:sz="0" w:space="0" w:color="auto"/>
        <w:left w:val="none" w:sz="0" w:space="0" w:color="auto"/>
        <w:bottom w:val="none" w:sz="0" w:space="0" w:color="auto"/>
        <w:right w:val="none" w:sz="0" w:space="0" w:color="auto"/>
      </w:divBdr>
    </w:div>
    <w:div w:id="376509589">
      <w:bodyDiv w:val="1"/>
      <w:marLeft w:val="0"/>
      <w:marRight w:val="0"/>
      <w:marTop w:val="0"/>
      <w:marBottom w:val="0"/>
      <w:divBdr>
        <w:top w:val="none" w:sz="0" w:space="0" w:color="auto"/>
        <w:left w:val="none" w:sz="0" w:space="0" w:color="auto"/>
        <w:bottom w:val="none" w:sz="0" w:space="0" w:color="auto"/>
        <w:right w:val="none" w:sz="0" w:space="0" w:color="auto"/>
      </w:divBdr>
    </w:div>
    <w:div w:id="396706024">
      <w:bodyDiv w:val="1"/>
      <w:marLeft w:val="0"/>
      <w:marRight w:val="0"/>
      <w:marTop w:val="0"/>
      <w:marBottom w:val="0"/>
      <w:divBdr>
        <w:top w:val="none" w:sz="0" w:space="0" w:color="auto"/>
        <w:left w:val="none" w:sz="0" w:space="0" w:color="auto"/>
        <w:bottom w:val="none" w:sz="0" w:space="0" w:color="auto"/>
        <w:right w:val="none" w:sz="0" w:space="0" w:color="auto"/>
      </w:divBdr>
    </w:div>
    <w:div w:id="410467535">
      <w:bodyDiv w:val="1"/>
      <w:marLeft w:val="0"/>
      <w:marRight w:val="0"/>
      <w:marTop w:val="0"/>
      <w:marBottom w:val="0"/>
      <w:divBdr>
        <w:top w:val="none" w:sz="0" w:space="0" w:color="auto"/>
        <w:left w:val="none" w:sz="0" w:space="0" w:color="auto"/>
        <w:bottom w:val="none" w:sz="0" w:space="0" w:color="auto"/>
        <w:right w:val="none" w:sz="0" w:space="0" w:color="auto"/>
      </w:divBdr>
    </w:div>
    <w:div w:id="417947774">
      <w:bodyDiv w:val="1"/>
      <w:marLeft w:val="0"/>
      <w:marRight w:val="0"/>
      <w:marTop w:val="0"/>
      <w:marBottom w:val="0"/>
      <w:divBdr>
        <w:top w:val="none" w:sz="0" w:space="0" w:color="auto"/>
        <w:left w:val="none" w:sz="0" w:space="0" w:color="auto"/>
        <w:bottom w:val="none" w:sz="0" w:space="0" w:color="auto"/>
        <w:right w:val="none" w:sz="0" w:space="0" w:color="auto"/>
      </w:divBdr>
    </w:div>
    <w:div w:id="431510138">
      <w:bodyDiv w:val="1"/>
      <w:marLeft w:val="0"/>
      <w:marRight w:val="0"/>
      <w:marTop w:val="0"/>
      <w:marBottom w:val="0"/>
      <w:divBdr>
        <w:top w:val="none" w:sz="0" w:space="0" w:color="auto"/>
        <w:left w:val="none" w:sz="0" w:space="0" w:color="auto"/>
        <w:bottom w:val="none" w:sz="0" w:space="0" w:color="auto"/>
        <w:right w:val="none" w:sz="0" w:space="0" w:color="auto"/>
      </w:divBdr>
    </w:div>
    <w:div w:id="440758734">
      <w:bodyDiv w:val="1"/>
      <w:marLeft w:val="0"/>
      <w:marRight w:val="0"/>
      <w:marTop w:val="0"/>
      <w:marBottom w:val="0"/>
      <w:divBdr>
        <w:top w:val="none" w:sz="0" w:space="0" w:color="auto"/>
        <w:left w:val="none" w:sz="0" w:space="0" w:color="auto"/>
        <w:bottom w:val="none" w:sz="0" w:space="0" w:color="auto"/>
        <w:right w:val="none" w:sz="0" w:space="0" w:color="auto"/>
      </w:divBdr>
    </w:div>
    <w:div w:id="442579211">
      <w:bodyDiv w:val="1"/>
      <w:marLeft w:val="0"/>
      <w:marRight w:val="0"/>
      <w:marTop w:val="0"/>
      <w:marBottom w:val="0"/>
      <w:divBdr>
        <w:top w:val="none" w:sz="0" w:space="0" w:color="auto"/>
        <w:left w:val="none" w:sz="0" w:space="0" w:color="auto"/>
        <w:bottom w:val="none" w:sz="0" w:space="0" w:color="auto"/>
        <w:right w:val="none" w:sz="0" w:space="0" w:color="auto"/>
      </w:divBdr>
    </w:div>
    <w:div w:id="448087594">
      <w:bodyDiv w:val="1"/>
      <w:marLeft w:val="0"/>
      <w:marRight w:val="0"/>
      <w:marTop w:val="0"/>
      <w:marBottom w:val="0"/>
      <w:divBdr>
        <w:top w:val="none" w:sz="0" w:space="0" w:color="auto"/>
        <w:left w:val="none" w:sz="0" w:space="0" w:color="auto"/>
        <w:bottom w:val="none" w:sz="0" w:space="0" w:color="auto"/>
        <w:right w:val="none" w:sz="0" w:space="0" w:color="auto"/>
      </w:divBdr>
    </w:div>
    <w:div w:id="458182425">
      <w:bodyDiv w:val="1"/>
      <w:marLeft w:val="0"/>
      <w:marRight w:val="0"/>
      <w:marTop w:val="0"/>
      <w:marBottom w:val="0"/>
      <w:divBdr>
        <w:top w:val="none" w:sz="0" w:space="0" w:color="auto"/>
        <w:left w:val="none" w:sz="0" w:space="0" w:color="auto"/>
        <w:bottom w:val="none" w:sz="0" w:space="0" w:color="auto"/>
        <w:right w:val="none" w:sz="0" w:space="0" w:color="auto"/>
      </w:divBdr>
    </w:div>
    <w:div w:id="463742627">
      <w:bodyDiv w:val="1"/>
      <w:marLeft w:val="0"/>
      <w:marRight w:val="0"/>
      <w:marTop w:val="0"/>
      <w:marBottom w:val="0"/>
      <w:divBdr>
        <w:top w:val="none" w:sz="0" w:space="0" w:color="auto"/>
        <w:left w:val="none" w:sz="0" w:space="0" w:color="auto"/>
        <w:bottom w:val="none" w:sz="0" w:space="0" w:color="auto"/>
        <w:right w:val="none" w:sz="0" w:space="0" w:color="auto"/>
      </w:divBdr>
    </w:div>
    <w:div w:id="471941503">
      <w:bodyDiv w:val="1"/>
      <w:marLeft w:val="0"/>
      <w:marRight w:val="0"/>
      <w:marTop w:val="0"/>
      <w:marBottom w:val="0"/>
      <w:divBdr>
        <w:top w:val="none" w:sz="0" w:space="0" w:color="auto"/>
        <w:left w:val="none" w:sz="0" w:space="0" w:color="auto"/>
        <w:bottom w:val="none" w:sz="0" w:space="0" w:color="auto"/>
        <w:right w:val="none" w:sz="0" w:space="0" w:color="auto"/>
      </w:divBdr>
    </w:div>
    <w:div w:id="474370659">
      <w:bodyDiv w:val="1"/>
      <w:marLeft w:val="0"/>
      <w:marRight w:val="0"/>
      <w:marTop w:val="0"/>
      <w:marBottom w:val="0"/>
      <w:divBdr>
        <w:top w:val="none" w:sz="0" w:space="0" w:color="auto"/>
        <w:left w:val="none" w:sz="0" w:space="0" w:color="auto"/>
        <w:bottom w:val="none" w:sz="0" w:space="0" w:color="auto"/>
        <w:right w:val="none" w:sz="0" w:space="0" w:color="auto"/>
      </w:divBdr>
    </w:div>
    <w:div w:id="481048054">
      <w:bodyDiv w:val="1"/>
      <w:marLeft w:val="0"/>
      <w:marRight w:val="0"/>
      <w:marTop w:val="0"/>
      <w:marBottom w:val="0"/>
      <w:divBdr>
        <w:top w:val="none" w:sz="0" w:space="0" w:color="auto"/>
        <w:left w:val="none" w:sz="0" w:space="0" w:color="auto"/>
        <w:bottom w:val="none" w:sz="0" w:space="0" w:color="auto"/>
        <w:right w:val="none" w:sz="0" w:space="0" w:color="auto"/>
      </w:divBdr>
    </w:div>
    <w:div w:id="520120815">
      <w:bodyDiv w:val="1"/>
      <w:marLeft w:val="0"/>
      <w:marRight w:val="0"/>
      <w:marTop w:val="0"/>
      <w:marBottom w:val="0"/>
      <w:divBdr>
        <w:top w:val="none" w:sz="0" w:space="0" w:color="auto"/>
        <w:left w:val="none" w:sz="0" w:space="0" w:color="auto"/>
        <w:bottom w:val="none" w:sz="0" w:space="0" w:color="auto"/>
        <w:right w:val="none" w:sz="0" w:space="0" w:color="auto"/>
      </w:divBdr>
    </w:div>
    <w:div w:id="520167981">
      <w:bodyDiv w:val="1"/>
      <w:marLeft w:val="0"/>
      <w:marRight w:val="0"/>
      <w:marTop w:val="0"/>
      <w:marBottom w:val="0"/>
      <w:divBdr>
        <w:top w:val="none" w:sz="0" w:space="0" w:color="auto"/>
        <w:left w:val="none" w:sz="0" w:space="0" w:color="auto"/>
        <w:bottom w:val="none" w:sz="0" w:space="0" w:color="auto"/>
        <w:right w:val="none" w:sz="0" w:space="0" w:color="auto"/>
      </w:divBdr>
    </w:div>
    <w:div w:id="534973841">
      <w:bodyDiv w:val="1"/>
      <w:marLeft w:val="0"/>
      <w:marRight w:val="0"/>
      <w:marTop w:val="0"/>
      <w:marBottom w:val="0"/>
      <w:divBdr>
        <w:top w:val="none" w:sz="0" w:space="0" w:color="auto"/>
        <w:left w:val="none" w:sz="0" w:space="0" w:color="auto"/>
        <w:bottom w:val="none" w:sz="0" w:space="0" w:color="auto"/>
        <w:right w:val="none" w:sz="0" w:space="0" w:color="auto"/>
      </w:divBdr>
    </w:div>
    <w:div w:id="586038436">
      <w:bodyDiv w:val="1"/>
      <w:marLeft w:val="0"/>
      <w:marRight w:val="0"/>
      <w:marTop w:val="0"/>
      <w:marBottom w:val="0"/>
      <w:divBdr>
        <w:top w:val="none" w:sz="0" w:space="0" w:color="auto"/>
        <w:left w:val="none" w:sz="0" w:space="0" w:color="auto"/>
        <w:bottom w:val="none" w:sz="0" w:space="0" w:color="auto"/>
        <w:right w:val="none" w:sz="0" w:space="0" w:color="auto"/>
      </w:divBdr>
    </w:div>
    <w:div w:id="591936315">
      <w:bodyDiv w:val="1"/>
      <w:marLeft w:val="0"/>
      <w:marRight w:val="0"/>
      <w:marTop w:val="0"/>
      <w:marBottom w:val="0"/>
      <w:divBdr>
        <w:top w:val="none" w:sz="0" w:space="0" w:color="auto"/>
        <w:left w:val="none" w:sz="0" w:space="0" w:color="auto"/>
        <w:bottom w:val="none" w:sz="0" w:space="0" w:color="auto"/>
        <w:right w:val="none" w:sz="0" w:space="0" w:color="auto"/>
      </w:divBdr>
    </w:div>
    <w:div w:id="606548404">
      <w:bodyDiv w:val="1"/>
      <w:marLeft w:val="0"/>
      <w:marRight w:val="0"/>
      <w:marTop w:val="0"/>
      <w:marBottom w:val="0"/>
      <w:divBdr>
        <w:top w:val="none" w:sz="0" w:space="0" w:color="auto"/>
        <w:left w:val="none" w:sz="0" w:space="0" w:color="auto"/>
        <w:bottom w:val="none" w:sz="0" w:space="0" w:color="auto"/>
        <w:right w:val="none" w:sz="0" w:space="0" w:color="auto"/>
      </w:divBdr>
    </w:div>
    <w:div w:id="621301787">
      <w:bodyDiv w:val="1"/>
      <w:marLeft w:val="0"/>
      <w:marRight w:val="0"/>
      <w:marTop w:val="0"/>
      <w:marBottom w:val="0"/>
      <w:divBdr>
        <w:top w:val="none" w:sz="0" w:space="0" w:color="auto"/>
        <w:left w:val="none" w:sz="0" w:space="0" w:color="auto"/>
        <w:bottom w:val="none" w:sz="0" w:space="0" w:color="auto"/>
        <w:right w:val="none" w:sz="0" w:space="0" w:color="auto"/>
      </w:divBdr>
    </w:div>
    <w:div w:id="624581929">
      <w:bodyDiv w:val="1"/>
      <w:marLeft w:val="0"/>
      <w:marRight w:val="0"/>
      <w:marTop w:val="0"/>
      <w:marBottom w:val="0"/>
      <w:divBdr>
        <w:top w:val="none" w:sz="0" w:space="0" w:color="auto"/>
        <w:left w:val="none" w:sz="0" w:space="0" w:color="auto"/>
        <w:bottom w:val="none" w:sz="0" w:space="0" w:color="auto"/>
        <w:right w:val="none" w:sz="0" w:space="0" w:color="auto"/>
      </w:divBdr>
    </w:div>
    <w:div w:id="646400843">
      <w:bodyDiv w:val="1"/>
      <w:marLeft w:val="0"/>
      <w:marRight w:val="0"/>
      <w:marTop w:val="0"/>
      <w:marBottom w:val="0"/>
      <w:divBdr>
        <w:top w:val="none" w:sz="0" w:space="0" w:color="auto"/>
        <w:left w:val="none" w:sz="0" w:space="0" w:color="auto"/>
        <w:bottom w:val="none" w:sz="0" w:space="0" w:color="auto"/>
        <w:right w:val="none" w:sz="0" w:space="0" w:color="auto"/>
      </w:divBdr>
    </w:div>
    <w:div w:id="699942029">
      <w:bodyDiv w:val="1"/>
      <w:marLeft w:val="0"/>
      <w:marRight w:val="0"/>
      <w:marTop w:val="0"/>
      <w:marBottom w:val="0"/>
      <w:divBdr>
        <w:top w:val="none" w:sz="0" w:space="0" w:color="auto"/>
        <w:left w:val="none" w:sz="0" w:space="0" w:color="auto"/>
        <w:bottom w:val="none" w:sz="0" w:space="0" w:color="auto"/>
        <w:right w:val="none" w:sz="0" w:space="0" w:color="auto"/>
      </w:divBdr>
    </w:div>
    <w:div w:id="753010844">
      <w:bodyDiv w:val="1"/>
      <w:marLeft w:val="0"/>
      <w:marRight w:val="0"/>
      <w:marTop w:val="0"/>
      <w:marBottom w:val="0"/>
      <w:divBdr>
        <w:top w:val="none" w:sz="0" w:space="0" w:color="auto"/>
        <w:left w:val="none" w:sz="0" w:space="0" w:color="auto"/>
        <w:bottom w:val="none" w:sz="0" w:space="0" w:color="auto"/>
        <w:right w:val="none" w:sz="0" w:space="0" w:color="auto"/>
      </w:divBdr>
    </w:div>
    <w:div w:id="774204030">
      <w:bodyDiv w:val="1"/>
      <w:marLeft w:val="0"/>
      <w:marRight w:val="0"/>
      <w:marTop w:val="0"/>
      <w:marBottom w:val="0"/>
      <w:divBdr>
        <w:top w:val="none" w:sz="0" w:space="0" w:color="auto"/>
        <w:left w:val="none" w:sz="0" w:space="0" w:color="auto"/>
        <w:bottom w:val="none" w:sz="0" w:space="0" w:color="auto"/>
        <w:right w:val="none" w:sz="0" w:space="0" w:color="auto"/>
      </w:divBdr>
    </w:div>
    <w:div w:id="793790936">
      <w:bodyDiv w:val="1"/>
      <w:marLeft w:val="0"/>
      <w:marRight w:val="0"/>
      <w:marTop w:val="0"/>
      <w:marBottom w:val="0"/>
      <w:divBdr>
        <w:top w:val="none" w:sz="0" w:space="0" w:color="auto"/>
        <w:left w:val="none" w:sz="0" w:space="0" w:color="auto"/>
        <w:bottom w:val="none" w:sz="0" w:space="0" w:color="auto"/>
        <w:right w:val="none" w:sz="0" w:space="0" w:color="auto"/>
      </w:divBdr>
    </w:div>
    <w:div w:id="805855984">
      <w:bodyDiv w:val="1"/>
      <w:marLeft w:val="0"/>
      <w:marRight w:val="0"/>
      <w:marTop w:val="0"/>
      <w:marBottom w:val="0"/>
      <w:divBdr>
        <w:top w:val="none" w:sz="0" w:space="0" w:color="auto"/>
        <w:left w:val="none" w:sz="0" w:space="0" w:color="auto"/>
        <w:bottom w:val="none" w:sz="0" w:space="0" w:color="auto"/>
        <w:right w:val="none" w:sz="0" w:space="0" w:color="auto"/>
      </w:divBdr>
    </w:div>
    <w:div w:id="827285249">
      <w:bodyDiv w:val="1"/>
      <w:marLeft w:val="0"/>
      <w:marRight w:val="0"/>
      <w:marTop w:val="0"/>
      <w:marBottom w:val="0"/>
      <w:divBdr>
        <w:top w:val="none" w:sz="0" w:space="0" w:color="auto"/>
        <w:left w:val="none" w:sz="0" w:space="0" w:color="auto"/>
        <w:bottom w:val="none" w:sz="0" w:space="0" w:color="auto"/>
        <w:right w:val="none" w:sz="0" w:space="0" w:color="auto"/>
      </w:divBdr>
    </w:div>
    <w:div w:id="841775280">
      <w:bodyDiv w:val="1"/>
      <w:marLeft w:val="0"/>
      <w:marRight w:val="0"/>
      <w:marTop w:val="0"/>
      <w:marBottom w:val="0"/>
      <w:divBdr>
        <w:top w:val="none" w:sz="0" w:space="0" w:color="auto"/>
        <w:left w:val="none" w:sz="0" w:space="0" w:color="auto"/>
        <w:bottom w:val="none" w:sz="0" w:space="0" w:color="auto"/>
        <w:right w:val="none" w:sz="0" w:space="0" w:color="auto"/>
      </w:divBdr>
    </w:div>
    <w:div w:id="857231138">
      <w:bodyDiv w:val="1"/>
      <w:marLeft w:val="0"/>
      <w:marRight w:val="0"/>
      <w:marTop w:val="0"/>
      <w:marBottom w:val="0"/>
      <w:divBdr>
        <w:top w:val="none" w:sz="0" w:space="0" w:color="auto"/>
        <w:left w:val="none" w:sz="0" w:space="0" w:color="auto"/>
        <w:bottom w:val="none" w:sz="0" w:space="0" w:color="auto"/>
        <w:right w:val="none" w:sz="0" w:space="0" w:color="auto"/>
      </w:divBdr>
    </w:div>
    <w:div w:id="881138450">
      <w:bodyDiv w:val="1"/>
      <w:marLeft w:val="0"/>
      <w:marRight w:val="0"/>
      <w:marTop w:val="0"/>
      <w:marBottom w:val="0"/>
      <w:divBdr>
        <w:top w:val="none" w:sz="0" w:space="0" w:color="auto"/>
        <w:left w:val="none" w:sz="0" w:space="0" w:color="auto"/>
        <w:bottom w:val="none" w:sz="0" w:space="0" w:color="auto"/>
        <w:right w:val="none" w:sz="0" w:space="0" w:color="auto"/>
      </w:divBdr>
    </w:div>
    <w:div w:id="882593286">
      <w:bodyDiv w:val="1"/>
      <w:marLeft w:val="0"/>
      <w:marRight w:val="0"/>
      <w:marTop w:val="0"/>
      <w:marBottom w:val="0"/>
      <w:divBdr>
        <w:top w:val="none" w:sz="0" w:space="0" w:color="auto"/>
        <w:left w:val="none" w:sz="0" w:space="0" w:color="auto"/>
        <w:bottom w:val="none" w:sz="0" w:space="0" w:color="auto"/>
        <w:right w:val="none" w:sz="0" w:space="0" w:color="auto"/>
      </w:divBdr>
    </w:div>
    <w:div w:id="882905563">
      <w:bodyDiv w:val="1"/>
      <w:marLeft w:val="0"/>
      <w:marRight w:val="0"/>
      <w:marTop w:val="0"/>
      <w:marBottom w:val="0"/>
      <w:divBdr>
        <w:top w:val="none" w:sz="0" w:space="0" w:color="auto"/>
        <w:left w:val="none" w:sz="0" w:space="0" w:color="auto"/>
        <w:bottom w:val="none" w:sz="0" w:space="0" w:color="auto"/>
        <w:right w:val="none" w:sz="0" w:space="0" w:color="auto"/>
      </w:divBdr>
    </w:div>
    <w:div w:id="920338181">
      <w:bodyDiv w:val="1"/>
      <w:marLeft w:val="0"/>
      <w:marRight w:val="0"/>
      <w:marTop w:val="0"/>
      <w:marBottom w:val="0"/>
      <w:divBdr>
        <w:top w:val="none" w:sz="0" w:space="0" w:color="auto"/>
        <w:left w:val="none" w:sz="0" w:space="0" w:color="auto"/>
        <w:bottom w:val="none" w:sz="0" w:space="0" w:color="auto"/>
        <w:right w:val="none" w:sz="0" w:space="0" w:color="auto"/>
      </w:divBdr>
    </w:div>
    <w:div w:id="940261116">
      <w:bodyDiv w:val="1"/>
      <w:marLeft w:val="0"/>
      <w:marRight w:val="0"/>
      <w:marTop w:val="0"/>
      <w:marBottom w:val="0"/>
      <w:divBdr>
        <w:top w:val="none" w:sz="0" w:space="0" w:color="auto"/>
        <w:left w:val="none" w:sz="0" w:space="0" w:color="auto"/>
        <w:bottom w:val="none" w:sz="0" w:space="0" w:color="auto"/>
        <w:right w:val="none" w:sz="0" w:space="0" w:color="auto"/>
      </w:divBdr>
    </w:div>
    <w:div w:id="946305913">
      <w:bodyDiv w:val="1"/>
      <w:marLeft w:val="0"/>
      <w:marRight w:val="0"/>
      <w:marTop w:val="0"/>
      <w:marBottom w:val="0"/>
      <w:divBdr>
        <w:top w:val="none" w:sz="0" w:space="0" w:color="auto"/>
        <w:left w:val="none" w:sz="0" w:space="0" w:color="auto"/>
        <w:bottom w:val="none" w:sz="0" w:space="0" w:color="auto"/>
        <w:right w:val="none" w:sz="0" w:space="0" w:color="auto"/>
      </w:divBdr>
    </w:div>
    <w:div w:id="955062545">
      <w:bodyDiv w:val="1"/>
      <w:marLeft w:val="0"/>
      <w:marRight w:val="0"/>
      <w:marTop w:val="0"/>
      <w:marBottom w:val="0"/>
      <w:divBdr>
        <w:top w:val="none" w:sz="0" w:space="0" w:color="auto"/>
        <w:left w:val="none" w:sz="0" w:space="0" w:color="auto"/>
        <w:bottom w:val="none" w:sz="0" w:space="0" w:color="auto"/>
        <w:right w:val="none" w:sz="0" w:space="0" w:color="auto"/>
      </w:divBdr>
    </w:div>
    <w:div w:id="962542064">
      <w:bodyDiv w:val="1"/>
      <w:marLeft w:val="0"/>
      <w:marRight w:val="0"/>
      <w:marTop w:val="0"/>
      <w:marBottom w:val="0"/>
      <w:divBdr>
        <w:top w:val="none" w:sz="0" w:space="0" w:color="auto"/>
        <w:left w:val="none" w:sz="0" w:space="0" w:color="auto"/>
        <w:bottom w:val="none" w:sz="0" w:space="0" w:color="auto"/>
        <w:right w:val="none" w:sz="0" w:space="0" w:color="auto"/>
      </w:divBdr>
    </w:div>
    <w:div w:id="1008026825">
      <w:bodyDiv w:val="1"/>
      <w:marLeft w:val="0"/>
      <w:marRight w:val="0"/>
      <w:marTop w:val="0"/>
      <w:marBottom w:val="0"/>
      <w:divBdr>
        <w:top w:val="none" w:sz="0" w:space="0" w:color="auto"/>
        <w:left w:val="none" w:sz="0" w:space="0" w:color="auto"/>
        <w:bottom w:val="none" w:sz="0" w:space="0" w:color="auto"/>
        <w:right w:val="none" w:sz="0" w:space="0" w:color="auto"/>
      </w:divBdr>
    </w:div>
    <w:div w:id="1019814530">
      <w:bodyDiv w:val="1"/>
      <w:marLeft w:val="0"/>
      <w:marRight w:val="0"/>
      <w:marTop w:val="0"/>
      <w:marBottom w:val="0"/>
      <w:divBdr>
        <w:top w:val="none" w:sz="0" w:space="0" w:color="auto"/>
        <w:left w:val="none" w:sz="0" w:space="0" w:color="auto"/>
        <w:bottom w:val="none" w:sz="0" w:space="0" w:color="auto"/>
        <w:right w:val="none" w:sz="0" w:space="0" w:color="auto"/>
      </w:divBdr>
    </w:div>
    <w:div w:id="1054741596">
      <w:bodyDiv w:val="1"/>
      <w:marLeft w:val="0"/>
      <w:marRight w:val="0"/>
      <w:marTop w:val="0"/>
      <w:marBottom w:val="0"/>
      <w:divBdr>
        <w:top w:val="none" w:sz="0" w:space="0" w:color="auto"/>
        <w:left w:val="none" w:sz="0" w:space="0" w:color="auto"/>
        <w:bottom w:val="none" w:sz="0" w:space="0" w:color="auto"/>
        <w:right w:val="none" w:sz="0" w:space="0" w:color="auto"/>
      </w:divBdr>
    </w:div>
    <w:div w:id="1056592090">
      <w:bodyDiv w:val="1"/>
      <w:marLeft w:val="0"/>
      <w:marRight w:val="0"/>
      <w:marTop w:val="0"/>
      <w:marBottom w:val="0"/>
      <w:divBdr>
        <w:top w:val="none" w:sz="0" w:space="0" w:color="auto"/>
        <w:left w:val="none" w:sz="0" w:space="0" w:color="auto"/>
        <w:bottom w:val="none" w:sz="0" w:space="0" w:color="auto"/>
        <w:right w:val="none" w:sz="0" w:space="0" w:color="auto"/>
      </w:divBdr>
    </w:div>
    <w:div w:id="1060396828">
      <w:bodyDiv w:val="1"/>
      <w:marLeft w:val="0"/>
      <w:marRight w:val="0"/>
      <w:marTop w:val="0"/>
      <w:marBottom w:val="0"/>
      <w:divBdr>
        <w:top w:val="none" w:sz="0" w:space="0" w:color="auto"/>
        <w:left w:val="none" w:sz="0" w:space="0" w:color="auto"/>
        <w:bottom w:val="none" w:sz="0" w:space="0" w:color="auto"/>
        <w:right w:val="none" w:sz="0" w:space="0" w:color="auto"/>
      </w:divBdr>
    </w:div>
    <w:div w:id="1063064948">
      <w:bodyDiv w:val="1"/>
      <w:marLeft w:val="0"/>
      <w:marRight w:val="0"/>
      <w:marTop w:val="0"/>
      <w:marBottom w:val="0"/>
      <w:divBdr>
        <w:top w:val="none" w:sz="0" w:space="0" w:color="auto"/>
        <w:left w:val="none" w:sz="0" w:space="0" w:color="auto"/>
        <w:bottom w:val="none" w:sz="0" w:space="0" w:color="auto"/>
        <w:right w:val="none" w:sz="0" w:space="0" w:color="auto"/>
      </w:divBdr>
    </w:div>
    <w:div w:id="1067267062">
      <w:bodyDiv w:val="1"/>
      <w:marLeft w:val="0"/>
      <w:marRight w:val="0"/>
      <w:marTop w:val="0"/>
      <w:marBottom w:val="0"/>
      <w:divBdr>
        <w:top w:val="none" w:sz="0" w:space="0" w:color="auto"/>
        <w:left w:val="none" w:sz="0" w:space="0" w:color="auto"/>
        <w:bottom w:val="none" w:sz="0" w:space="0" w:color="auto"/>
        <w:right w:val="none" w:sz="0" w:space="0" w:color="auto"/>
      </w:divBdr>
    </w:div>
    <w:div w:id="1069108470">
      <w:bodyDiv w:val="1"/>
      <w:marLeft w:val="0"/>
      <w:marRight w:val="0"/>
      <w:marTop w:val="0"/>
      <w:marBottom w:val="0"/>
      <w:divBdr>
        <w:top w:val="none" w:sz="0" w:space="0" w:color="auto"/>
        <w:left w:val="none" w:sz="0" w:space="0" w:color="auto"/>
        <w:bottom w:val="none" w:sz="0" w:space="0" w:color="auto"/>
        <w:right w:val="none" w:sz="0" w:space="0" w:color="auto"/>
      </w:divBdr>
    </w:div>
    <w:div w:id="1111239830">
      <w:bodyDiv w:val="1"/>
      <w:marLeft w:val="0"/>
      <w:marRight w:val="0"/>
      <w:marTop w:val="0"/>
      <w:marBottom w:val="0"/>
      <w:divBdr>
        <w:top w:val="none" w:sz="0" w:space="0" w:color="auto"/>
        <w:left w:val="none" w:sz="0" w:space="0" w:color="auto"/>
        <w:bottom w:val="none" w:sz="0" w:space="0" w:color="auto"/>
        <w:right w:val="none" w:sz="0" w:space="0" w:color="auto"/>
      </w:divBdr>
    </w:div>
    <w:div w:id="1172259352">
      <w:bodyDiv w:val="1"/>
      <w:marLeft w:val="0"/>
      <w:marRight w:val="0"/>
      <w:marTop w:val="0"/>
      <w:marBottom w:val="0"/>
      <w:divBdr>
        <w:top w:val="none" w:sz="0" w:space="0" w:color="auto"/>
        <w:left w:val="none" w:sz="0" w:space="0" w:color="auto"/>
        <w:bottom w:val="none" w:sz="0" w:space="0" w:color="auto"/>
        <w:right w:val="none" w:sz="0" w:space="0" w:color="auto"/>
      </w:divBdr>
    </w:div>
    <w:div w:id="1189635851">
      <w:bodyDiv w:val="1"/>
      <w:marLeft w:val="0"/>
      <w:marRight w:val="0"/>
      <w:marTop w:val="0"/>
      <w:marBottom w:val="0"/>
      <w:divBdr>
        <w:top w:val="none" w:sz="0" w:space="0" w:color="auto"/>
        <w:left w:val="none" w:sz="0" w:space="0" w:color="auto"/>
        <w:bottom w:val="none" w:sz="0" w:space="0" w:color="auto"/>
        <w:right w:val="none" w:sz="0" w:space="0" w:color="auto"/>
      </w:divBdr>
    </w:div>
    <w:div w:id="1280335704">
      <w:bodyDiv w:val="1"/>
      <w:marLeft w:val="0"/>
      <w:marRight w:val="0"/>
      <w:marTop w:val="0"/>
      <w:marBottom w:val="0"/>
      <w:divBdr>
        <w:top w:val="none" w:sz="0" w:space="0" w:color="auto"/>
        <w:left w:val="none" w:sz="0" w:space="0" w:color="auto"/>
        <w:bottom w:val="none" w:sz="0" w:space="0" w:color="auto"/>
        <w:right w:val="none" w:sz="0" w:space="0" w:color="auto"/>
      </w:divBdr>
    </w:div>
    <w:div w:id="1280915385">
      <w:bodyDiv w:val="1"/>
      <w:marLeft w:val="0"/>
      <w:marRight w:val="0"/>
      <w:marTop w:val="0"/>
      <w:marBottom w:val="0"/>
      <w:divBdr>
        <w:top w:val="none" w:sz="0" w:space="0" w:color="auto"/>
        <w:left w:val="none" w:sz="0" w:space="0" w:color="auto"/>
        <w:bottom w:val="none" w:sz="0" w:space="0" w:color="auto"/>
        <w:right w:val="none" w:sz="0" w:space="0" w:color="auto"/>
      </w:divBdr>
    </w:div>
    <w:div w:id="1283534583">
      <w:bodyDiv w:val="1"/>
      <w:marLeft w:val="0"/>
      <w:marRight w:val="0"/>
      <w:marTop w:val="0"/>
      <w:marBottom w:val="0"/>
      <w:divBdr>
        <w:top w:val="none" w:sz="0" w:space="0" w:color="auto"/>
        <w:left w:val="none" w:sz="0" w:space="0" w:color="auto"/>
        <w:bottom w:val="none" w:sz="0" w:space="0" w:color="auto"/>
        <w:right w:val="none" w:sz="0" w:space="0" w:color="auto"/>
      </w:divBdr>
    </w:div>
    <w:div w:id="1324700922">
      <w:bodyDiv w:val="1"/>
      <w:marLeft w:val="0"/>
      <w:marRight w:val="0"/>
      <w:marTop w:val="0"/>
      <w:marBottom w:val="0"/>
      <w:divBdr>
        <w:top w:val="none" w:sz="0" w:space="0" w:color="auto"/>
        <w:left w:val="none" w:sz="0" w:space="0" w:color="auto"/>
        <w:bottom w:val="none" w:sz="0" w:space="0" w:color="auto"/>
        <w:right w:val="none" w:sz="0" w:space="0" w:color="auto"/>
      </w:divBdr>
    </w:div>
    <w:div w:id="1330669556">
      <w:bodyDiv w:val="1"/>
      <w:marLeft w:val="0"/>
      <w:marRight w:val="0"/>
      <w:marTop w:val="0"/>
      <w:marBottom w:val="0"/>
      <w:divBdr>
        <w:top w:val="none" w:sz="0" w:space="0" w:color="auto"/>
        <w:left w:val="none" w:sz="0" w:space="0" w:color="auto"/>
        <w:bottom w:val="none" w:sz="0" w:space="0" w:color="auto"/>
        <w:right w:val="none" w:sz="0" w:space="0" w:color="auto"/>
      </w:divBdr>
    </w:div>
    <w:div w:id="1342271289">
      <w:bodyDiv w:val="1"/>
      <w:marLeft w:val="0"/>
      <w:marRight w:val="0"/>
      <w:marTop w:val="0"/>
      <w:marBottom w:val="0"/>
      <w:divBdr>
        <w:top w:val="none" w:sz="0" w:space="0" w:color="auto"/>
        <w:left w:val="none" w:sz="0" w:space="0" w:color="auto"/>
        <w:bottom w:val="none" w:sz="0" w:space="0" w:color="auto"/>
        <w:right w:val="none" w:sz="0" w:space="0" w:color="auto"/>
      </w:divBdr>
    </w:div>
    <w:div w:id="1365671502">
      <w:bodyDiv w:val="1"/>
      <w:marLeft w:val="0"/>
      <w:marRight w:val="0"/>
      <w:marTop w:val="0"/>
      <w:marBottom w:val="0"/>
      <w:divBdr>
        <w:top w:val="none" w:sz="0" w:space="0" w:color="auto"/>
        <w:left w:val="none" w:sz="0" w:space="0" w:color="auto"/>
        <w:bottom w:val="none" w:sz="0" w:space="0" w:color="auto"/>
        <w:right w:val="none" w:sz="0" w:space="0" w:color="auto"/>
      </w:divBdr>
    </w:div>
    <w:div w:id="1399209006">
      <w:bodyDiv w:val="1"/>
      <w:marLeft w:val="0"/>
      <w:marRight w:val="0"/>
      <w:marTop w:val="0"/>
      <w:marBottom w:val="0"/>
      <w:divBdr>
        <w:top w:val="none" w:sz="0" w:space="0" w:color="auto"/>
        <w:left w:val="none" w:sz="0" w:space="0" w:color="auto"/>
        <w:bottom w:val="none" w:sz="0" w:space="0" w:color="auto"/>
        <w:right w:val="none" w:sz="0" w:space="0" w:color="auto"/>
      </w:divBdr>
    </w:div>
    <w:div w:id="1434352213">
      <w:bodyDiv w:val="1"/>
      <w:marLeft w:val="0"/>
      <w:marRight w:val="0"/>
      <w:marTop w:val="0"/>
      <w:marBottom w:val="0"/>
      <w:divBdr>
        <w:top w:val="none" w:sz="0" w:space="0" w:color="auto"/>
        <w:left w:val="none" w:sz="0" w:space="0" w:color="auto"/>
        <w:bottom w:val="none" w:sz="0" w:space="0" w:color="auto"/>
        <w:right w:val="none" w:sz="0" w:space="0" w:color="auto"/>
      </w:divBdr>
    </w:div>
    <w:div w:id="1455127886">
      <w:bodyDiv w:val="1"/>
      <w:marLeft w:val="0"/>
      <w:marRight w:val="0"/>
      <w:marTop w:val="0"/>
      <w:marBottom w:val="0"/>
      <w:divBdr>
        <w:top w:val="none" w:sz="0" w:space="0" w:color="auto"/>
        <w:left w:val="none" w:sz="0" w:space="0" w:color="auto"/>
        <w:bottom w:val="none" w:sz="0" w:space="0" w:color="auto"/>
        <w:right w:val="none" w:sz="0" w:space="0" w:color="auto"/>
      </w:divBdr>
    </w:div>
    <w:div w:id="1475835540">
      <w:bodyDiv w:val="1"/>
      <w:marLeft w:val="0"/>
      <w:marRight w:val="0"/>
      <w:marTop w:val="0"/>
      <w:marBottom w:val="0"/>
      <w:divBdr>
        <w:top w:val="none" w:sz="0" w:space="0" w:color="auto"/>
        <w:left w:val="none" w:sz="0" w:space="0" w:color="auto"/>
        <w:bottom w:val="none" w:sz="0" w:space="0" w:color="auto"/>
        <w:right w:val="none" w:sz="0" w:space="0" w:color="auto"/>
      </w:divBdr>
    </w:div>
    <w:div w:id="1488283493">
      <w:bodyDiv w:val="1"/>
      <w:marLeft w:val="0"/>
      <w:marRight w:val="0"/>
      <w:marTop w:val="0"/>
      <w:marBottom w:val="0"/>
      <w:divBdr>
        <w:top w:val="none" w:sz="0" w:space="0" w:color="auto"/>
        <w:left w:val="none" w:sz="0" w:space="0" w:color="auto"/>
        <w:bottom w:val="none" w:sz="0" w:space="0" w:color="auto"/>
        <w:right w:val="none" w:sz="0" w:space="0" w:color="auto"/>
      </w:divBdr>
    </w:div>
    <w:div w:id="1510294556">
      <w:bodyDiv w:val="1"/>
      <w:marLeft w:val="0"/>
      <w:marRight w:val="0"/>
      <w:marTop w:val="0"/>
      <w:marBottom w:val="0"/>
      <w:divBdr>
        <w:top w:val="none" w:sz="0" w:space="0" w:color="auto"/>
        <w:left w:val="none" w:sz="0" w:space="0" w:color="auto"/>
        <w:bottom w:val="none" w:sz="0" w:space="0" w:color="auto"/>
        <w:right w:val="none" w:sz="0" w:space="0" w:color="auto"/>
      </w:divBdr>
    </w:div>
    <w:div w:id="1530752457">
      <w:bodyDiv w:val="1"/>
      <w:marLeft w:val="0"/>
      <w:marRight w:val="0"/>
      <w:marTop w:val="0"/>
      <w:marBottom w:val="0"/>
      <w:divBdr>
        <w:top w:val="none" w:sz="0" w:space="0" w:color="auto"/>
        <w:left w:val="none" w:sz="0" w:space="0" w:color="auto"/>
        <w:bottom w:val="none" w:sz="0" w:space="0" w:color="auto"/>
        <w:right w:val="none" w:sz="0" w:space="0" w:color="auto"/>
      </w:divBdr>
    </w:div>
    <w:div w:id="1544710207">
      <w:bodyDiv w:val="1"/>
      <w:marLeft w:val="0"/>
      <w:marRight w:val="0"/>
      <w:marTop w:val="0"/>
      <w:marBottom w:val="0"/>
      <w:divBdr>
        <w:top w:val="none" w:sz="0" w:space="0" w:color="auto"/>
        <w:left w:val="none" w:sz="0" w:space="0" w:color="auto"/>
        <w:bottom w:val="none" w:sz="0" w:space="0" w:color="auto"/>
        <w:right w:val="none" w:sz="0" w:space="0" w:color="auto"/>
      </w:divBdr>
    </w:div>
    <w:div w:id="1548223590">
      <w:bodyDiv w:val="1"/>
      <w:marLeft w:val="0"/>
      <w:marRight w:val="0"/>
      <w:marTop w:val="0"/>
      <w:marBottom w:val="0"/>
      <w:divBdr>
        <w:top w:val="none" w:sz="0" w:space="0" w:color="auto"/>
        <w:left w:val="none" w:sz="0" w:space="0" w:color="auto"/>
        <w:bottom w:val="none" w:sz="0" w:space="0" w:color="auto"/>
        <w:right w:val="none" w:sz="0" w:space="0" w:color="auto"/>
      </w:divBdr>
    </w:div>
    <w:div w:id="1551764447">
      <w:bodyDiv w:val="1"/>
      <w:marLeft w:val="0"/>
      <w:marRight w:val="0"/>
      <w:marTop w:val="0"/>
      <w:marBottom w:val="0"/>
      <w:divBdr>
        <w:top w:val="none" w:sz="0" w:space="0" w:color="auto"/>
        <w:left w:val="none" w:sz="0" w:space="0" w:color="auto"/>
        <w:bottom w:val="none" w:sz="0" w:space="0" w:color="auto"/>
        <w:right w:val="none" w:sz="0" w:space="0" w:color="auto"/>
      </w:divBdr>
    </w:div>
    <w:div w:id="1571380499">
      <w:bodyDiv w:val="1"/>
      <w:marLeft w:val="0"/>
      <w:marRight w:val="0"/>
      <w:marTop w:val="0"/>
      <w:marBottom w:val="0"/>
      <w:divBdr>
        <w:top w:val="none" w:sz="0" w:space="0" w:color="auto"/>
        <w:left w:val="none" w:sz="0" w:space="0" w:color="auto"/>
        <w:bottom w:val="none" w:sz="0" w:space="0" w:color="auto"/>
        <w:right w:val="none" w:sz="0" w:space="0" w:color="auto"/>
      </w:divBdr>
    </w:div>
    <w:div w:id="1576159653">
      <w:bodyDiv w:val="1"/>
      <w:marLeft w:val="0"/>
      <w:marRight w:val="0"/>
      <w:marTop w:val="0"/>
      <w:marBottom w:val="0"/>
      <w:divBdr>
        <w:top w:val="none" w:sz="0" w:space="0" w:color="auto"/>
        <w:left w:val="none" w:sz="0" w:space="0" w:color="auto"/>
        <w:bottom w:val="none" w:sz="0" w:space="0" w:color="auto"/>
        <w:right w:val="none" w:sz="0" w:space="0" w:color="auto"/>
      </w:divBdr>
    </w:div>
    <w:div w:id="1597447442">
      <w:bodyDiv w:val="1"/>
      <w:marLeft w:val="0"/>
      <w:marRight w:val="0"/>
      <w:marTop w:val="0"/>
      <w:marBottom w:val="0"/>
      <w:divBdr>
        <w:top w:val="none" w:sz="0" w:space="0" w:color="auto"/>
        <w:left w:val="none" w:sz="0" w:space="0" w:color="auto"/>
        <w:bottom w:val="none" w:sz="0" w:space="0" w:color="auto"/>
        <w:right w:val="none" w:sz="0" w:space="0" w:color="auto"/>
      </w:divBdr>
    </w:div>
    <w:div w:id="1610120350">
      <w:bodyDiv w:val="1"/>
      <w:marLeft w:val="0"/>
      <w:marRight w:val="0"/>
      <w:marTop w:val="0"/>
      <w:marBottom w:val="0"/>
      <w:divBdr>
        <w:top w:val="none" w:sz="0" w:space="0" w:color="auto"/>
        <w:left w:val="none" w:sz="0" w:space="0" w:color="auto"/>
        <w:bottom w:val="none" w:sz="0" w:space="0" w:color="auto"/>
        <w:right w:val="none" w:sz="0" w:space="0" w:color="auto"/>
      </w:divBdr>
    </w:div>
    <w:div w:id="1616450708">
      <w:bodyDiv w:val="1"/>
      <w:marLeft w:val="0"/>
      <w:marRight w:val="0"/>
      <w:marTop w:val="0"/>
      <w:marBottom w:val="0"/>
      <w:divBdr>
        <w:top w:val="none" w:sz="0" w:space="0" w:color="auto"/>
        <w:left w:val="none" w:sz="0" w:space="0" w:color="auto"/>
        <w:bottom w:val="none" w:sz="0" w:space="0" w:color="auto"/>
        <w:right w:val="none" w:sz="0" w:space="0" w:color="auto"/>
      </w:divBdr>
    </w:div>
    <w:div w:id="1623220260">
      <w:bodyDiv w:val="1"/>
      <w:marLeft w:val="0"/>
      <w:marRight w:val="0"/>
      <w:marTop w:val="0"/>
      <w:marBottom w:val="0"/>
      <w:divBdr>
        <w:top w:val="none" w:sz="0" w:space="0" w:color="auto"/>
        <w:left w:val="none" w:sz="0" w:space="0" w:color="auto"/>
        <w:bottom w:val="none" w:sz="0" w:space="0" w:color="auto"/>
        <w:right w:val="none" w:sz="0" w:space="0" w:color="auto"/>
      </w:divBdr>
    </w:div>
    <w:div w:id="1625770761">
      <w:bodyDiv w:val="1"/>
      <w:marLeft w:val="0"/>
      <w:marRight w:val="0"/>
      <w:marTop w:val="0"/>
      <w:marBottom w:val="0"/>
      <w:divBdr>
        <w:top w:val="none" w:sz="0" w:space="0" w:color="auto"/>
        <w:left w:val="none" w:sz="0" w:space="0" w:color="auto"/>
        <w:bottom w:val="none" w:sz="0" w:space="0" w:color="auto"/>
        <w:right w:val="none" w:sz="0" w:space="0" w:color="auto"/>
      </w:divBdr>
    </w:div>
    <w:div w:id="1647277983">
      <w:bodyDiv w:val="1"/>
      <w:marLeft w:val="0"/>
      <w:marRight w:val="0"/>
      <w:marTop w:val="0"/>
      <w:marBottom w:val="0"/>
      <w:divBdr>
        <w:top w:val="none" w:sz="0" w:space="0" w:color="auto"/>
        <w:left w:val="none" w:sz="0" w:space="0" w:color="auto"/>
        <w:bottom w:val="none" w:sz="0" w:space="0" w:color="auto"/>
        <w:right w:val="none" w:sz="0" w:space="0" w:color="auto"/>
      </w:divBdr>
    </w:div>
    <w:div w:id="1676298165">
      <w:bodyDiv w:val="1"/>
      <w:marLeft w:val="0"/>
      <w:marRight w:val="0"/>
      <w:marTop w:val="0"/>
      <w:marBottom w:val="0"/>
      <w:divBdr>
        <w:top w:val="none" w:sz="0" w:space="0" w:color="auto"/>
        <w:left w:val="none" w:sz="0" w:space="0" w:color="auto"/>
        <w:bottom w:val="none" w:sz="0" w:space="0" w:color="auto"/>
        <w:right w:val="none" w:sz="0" w:space="0" w:color="auto"/>
      </w:divBdr>
    </w:div>
    <w:div w:id="1678725304">
      <w:bodyDiv w:val="1"/>
      <w:marLeft w:val="0"/>
      <w:marRight w:val="0"/>
      <w:marTop w:val="0"/>
      <w:marBottom w:val="0"/>
      <w:divBdr>
        <w:top w:val="none" w:sz="0" w:space="0" w:color="auto"/>
        <w:left w:val="none" w:sz="0" w:space="0" w:color="auto"/>
        <w:bottom w:val="none" w:sz="0" w:space="0" w:color="auto"/>
        <w:right w:val="none" w:sz="0" w:space="0" w:color="auto"/>
      </w:divBdr>
    </w:div>
    <w:div w:id="1689944000">
      <w:bodyDiv w:val="1"/>
      <w:marLeft w:val="0"/>
      <w:marRight w:val="0"/>
      <w:marTop w:val="0"/>
      <w:marBottom w:val="0"/>
      <w:divBdr>
        <w:top w:val="none" w:sz="0" w:space="0" w:color="auto"/>
        <w:left w:val="none" w:sz="0" w:space="0" w:color="auto"/>
        <w:bottom w:val="none" w:sz="0" w:space="0" w:color="auto"/>
        <w:right w:val="none" w:sz="0" w:space="0" w:color="auto"/>
      </w:divBdr>
    </w:div>
    <w:div w:id="1690132699">
      <w:bodyDiv w:val="1"/>
      <w:marLeft w:val="0"/>
      <w:marRight w:val="0"/>
      <w:marTop w:val="0"/>
      <w:marBottom w:val="0"/>
      <w:divBdr>
        <w:top w:val="none" w:sz="0" w:space="0" w:color="auto"/>
        <w:left w:val="none" w:sz="0" w:space="0" w:color="auto"/>
        <w:bottom w:val="none" w:sz="0" w:space="0" w:color="auto"/>
        <w:right w:val="none" w:sz="0" w:space="0" w:color="auto"/>
      </w:divBdr>
    </w:div>
    <w:div w:id="1696350470">
      <w:bodyDiv w:val="1"/>
      <w:marLeft w:val="0"/>
      <w:marRight w:val="0"/>
      <w:marTop w:val="0"/>
      <w:marBottom w:val="0"/>
      <w:divBdr>
        <w:top w:val="none" w:sz="0" w:space="0" w:color="auto"/>
        <w:left w:val="none" w:sz="0" w:space="0" w:color="auto"/>
        <w:bottom w:val="none" w:sz="0" w:space="0" w:color="auto"/>
        <w:right w:val="none" w:sz="0" w:space="0" w:color="auto"/>
      </w:divBdr>
    </w:div>
    <w:div w:id="1721400763">
      <w:bodyDiv w:val="1"/>
      <w:marLeft w:val="0"/>
      <w:marRight w:val="0"/>
      <w:marTop w:val="0"/>
      <w:marBottom w:val="0"/>
      <w:divBdr>
        <w:top w:val="none" w:sz="0" w:space="0" w:color="auto"/>
        <w:left w:val="none" w:sz="0" w:space="0" w:color="auto"/>
        <w:bottom w:val="none" w:sz="0" w:space="0" w:color="auto"/>
        <w:right w:val="none" w:sz="0" w:space="0" w:color="auto"/>
      </w:divBdr>
    </w:div>
    <w:div w:id="1762944512">
      <w:bodyDiv w:val="1"/>
      <w:marLeft w:val="0"/>
      <w:marRight w:val="0"/>
      <w:marTop w:val="0"/>
      <w:marBottom w:val="0"/>
      <w:divBdr>
        <w:top w:val="none" w:sz="0" w:space="0" w:color="auto"/>
        <w:left w:val="none" w:sz="0" w:space="0" w:color="auto"/>
        <w:bottom w:val="none" w:sz="0" w:space="0" w:color="auto"/>
        <w:right w:val="none" w:sz="0" w:space="0" w:color="auto"/>
      </w:divBdr>
    </w:div>
    <w:div w:id="1763838663">
      <w:bodyDiv w:val="1"/>
      <w:marLeft w:val="0"/>
      <w:marRight w:val="0"/>
      <w:marTop w:val="0"/>
      <w:marBottom w:val="0"/>
      <w:divBdr>
        <w:top w:val="none" w:sz="0" w:space="0" w:color="auto"/>
        <w:left w:val="none" w:sz="0" w:space="0" w:color="auto"/>
        <w:bottom w:val="none" w:sz="0" w:space="0" w:color="auto"/>
        <w:right w:val="none" w:sz="0" w:space="0" w:color="auto"/>
      </w:divBdr>
    </w:div>
    <w:div w:id="1785223462">
      <w:bodyDiv w:val="1"/>
      <w:marLeft w:val="0"/>
      <w:marRight w:val="0"/>
      <w:marTop w:val="0"/>
      <w:marBottom w:val="0"/>
      <w:divBdr>
        <w:top w:val="none" w:sz="0" w:space="0" w:color="auto"/>
        <w:left w:val="none" w:sz="0" w:space="0" w:color="auto"/>
        <w:bottom w:val="none" w:sz="0" w:space="0" w:color="auto"/>
        <w:right w:val="none" w:sz="0" w:space="0" w:color="auto"/>
      </w:divBdr>
    </w:div>
    <w:div w:id="1832984011">
      <w:bodyDiv w:val="1"/>
      <w:marLeft w:val="0"/>
      <w:marRight w:val="0"/>
      <w:marTop w:val="0"/>
      <w:marBottom w:val="0"/>
      <w:divBdr>
        <w:top w:val="none" w:sz="0" w:space="0" w:color="auto"/>
        <w:left w:val="none" w:sz="0" w:space="0" w:color="auto"/>
        <w:bottom w:val="none" w:sz="0" w:space="0" w:color="auto"/>
        <w:right w:val="none" w:sz="0" w:space="0" w:color="auto"/>
      </w:divBdr>
    </w:div>
    <w:div w:id="1884712590">
      <w:bodyDiv w:val="1"/>
      <w:marLeft w:val="0"/>
      <w:marRight w:val="0"/>
      <w:marTop w:val="0"/>
      <w:marBottom w:val="0"/>
      <w:divBdr>
        <w:top w:val="none" w:sz="0" w:space="0" w:color="auto"/>
        <w:left w:val="none" w:sz="0" w:space="0" w:color="auto"/>
        <w:bottom w:val="none" w:sz="0" w:space="0" w:color="auto"/>
        <w:right w:val="none" w:sz="0" w:space="0" w:color="auto"/>
      </w:divBdr>
    </w:div>
    <w:div w:id="1890267732">
      <w:bodyDiv w:val="1"/>
      <w:marLeft w:val="0"/>
      <w:marRight w:val="0"/>
      <w:marTop w:val="0"/>
      <w:marBottom w:val="0"/>
      <w:divBdr>
        <w:top w:val="none" w:sz="0" w:space="0" w:color="auto"/>
        <w:left w:val="none" w:sz="0" w:space="0" w:color="auto"/>
        <w:bottom w:val="none" w:sz="0" w:space="0" w:color="auto"/>
        <w:right w:val="none" w:sz="0" w:space="0" w:color="auto"/>
      </w:divBdr>
    </w:div>
    <w:div w:id="1923104618">
      <w:bodyDiv w:val="1"/>
      <w:marLeft w:val="0"/>
      <w:marRight w:val="0"/>
      <w:marTop w:val="0"/>
      <w:marBottom w:val="0"/>
      <w:divBdr>
        <w:top w:val="none" w:sz="0" w:space="0" w:color="auto"/>
        <w:left w:val="none" w:sz="0" w:space="0" w:color="auto"/>
        <w:bottom w:val="none" w:sz="0" w:space="0" w:color="auto"/>
        <w:right w:val="none" w:sz="0" w:space="0" w:color="auto"/>
      </w:divBdr>
    </w:div>
    <w:div w:id="1924491257">
      <w:bodyDiv w:val="1"/>
      <w:marLeft w:val="0"/>
      <w:marRight w:val="0"/>
      <w:marTop w:val="0"/>
      <w:marBottom w:val="0"/>
      <w:divBdr>
        <w:top w:val="none" w:sz="0" w:space="0" w:color="auto"/>
        <w:left w:val="none" w:sz="0" w:space="0" w:color="auto"/>
        <w:bottom w:val="none" w:sz="0" w:space="0" w:color="auto"/>
        <w:right w:val="none" w:sz="0" w:space="0" w:color="auto"/>
      </w:divBdr>
    </w:div>
    <w:div w:id="1941988133">
      <w:bodyDiv w:val="1"/>
      <w:marLeft w:val="0"/>
      <w:marRight w:val="0"/>
      <w:marTop w:val="0"/>
      <w:marBottom w:val="0"/>
      <w:divBdr>
        <w:top w:val="none" w:sz="0" w:space="0" w:color="auto"/>
        <w:left w:val="none" w:sz="0" w:space="0" w:color="auto"/>
        <w:bottom w:val="none" w:sz="0" w:space="0" w:color="auto"/>
        <w:right w:val="none" w:sz="0" w:space="0" w:color="auto"/>
      </w:divBdr>
    </w:div>
    <w:div w:id="2016225328">
      <w:bodyDiv w:val="1"/>
      <w:marLeft w:val="0"/>
      <w:marRight w:val="0"/>
      <w:marTop w:val="0"/>
      <w:marBottom w:val="0"/>
      <w:divBdr>
        <w:top w:val="none" w:sz="0" w:space="0" w:color="auto"/>
        <w:left w:val="none" w:sz="0" w:space="0" w:color="auto"/>
        <w:bottom w:val="none" w:sz="0" w:space="0" w:color="auto"/>
        <w:right w:val="none" w:sz="0" w:space="0" w:color="auto"/>
      </w:divBdr>
    </w:div>
    <w:div w:id="2020623686">
      <w:bodyDiv w:val="1"/>
      <w:marLeft w:val="0"/>
      <w:marRight w:val="0"/>
      <w:marTop w:val="0"/>
      <w:marBottom w:val="0"/>
      <w:divBdr>
        <w:top w:val="none" w:sz="0" w:space="0" w:color="auto"/>
        <w:left w:val="none" w:sz="0" w:space="0" w:color="auto"/>
        <w:bottom w:val="none" w:sz="0" w:space="0" w:color="auto"/>
        <w:right w:val="none" w:sz="0" w:space="0" w:color="auto"/>
      </w:divBdr>
    </w:div>
    <w:div w:id="2040542333">
      <w:bodyDiv w:val="1"/>
      <w:marLeft w:val="0"/>
      <w:marRight w:val="0"/>
      <w:marTop w:val="0"/>
      <w:marBottom w:val="0"/>
      <w:divBdr>
        <w:top w:val="none" w:sz="0" w:space="0" w:color="auto"/>
        <w:left w:val="none" w:sz="0" w:space="0" w:color="auto"/>
        <w:bottom w:val="none" w:sz="0" w:space="0" w:color="auto"/>
        <w:right w:val="none" w:sz="0" w:space="0" w:color="auto"/>
      </w:divBdr>
    </w:div>
    <w:div w:id="2048944948">
      <w:bodyDiv w:val="1"/>
      <w:marLeft w:val="0"/>
      <w:marRight w:val="0"/>
      <w:marTop w:val="0"/>
      <w:marBottom w:val="0"/>
      <w:divBdr>
        <w:top w:val="none" w:sz="0" w:space="0" w:color="auto"/>
        <w:left w:val="none" w:sz="0" w:space="0" w:color="auto"/>
        <w:bottom w:val="none" w:sz="0" w:space="0" w:color="auto"/>
        <w:right w:val="none" w:sz="0" w:space="0" w:color="auto"/>
      </w:divBdr>
    </w:div>
    <w:div w:id="2064597883">
      <w:bodyDiv w:val="1"/>
      <w:marLeft w:val="0"/>
      <w:marRight w:val="0"/>
      <w:marTop w:val="0"/>
      <w:marBottom w:val="0"/>
      <w:divBdr>
        <w:top w:val="none" w:sz="0" w:space="0" w:color="auto"/>
        <w:left w:val="none" w:sz="0" w:space="0" w:color="auto"/>
        <w:bottom w:val="none" w:sz="0" w:space="0" w:color="auto"/>
        <w:right w:val="none" w:sz="0" w:space="0" w:color="auto"/>
      </w:divBdr>
    </w:div>
    <w:div w:id="2081632329">
      <w:bodyDiv w:val="1"/>
      <w:marLeft w:val="0"/>
      <w:marRight w:val="0"/>
      <w:marTop w:val="0"/>
      <w:marBottom w:val="0"/>
      <w:divBdr>
        <w:top w:val="none" w:sz="0" w:space="0" w:color="auto"/>
        <w:left w:val="none" w:sz="0" w:space="0" w:color="auto"/>
        <w:bottom w:val="none" w:sz="0" w:space="0" w:color="auto"/>
        <w:right w:val="none" w:sz="0" w:space="0" w:color="auto"/>
      </w:divBdr>
    </w:div>
    <w:div w:id="2084065632">
      <w:bodyDiv w:val="1"/>
      <w:marLeft w:val="0"/>
      <w:marRight w:val="0"/>
      <w:marTop w:val="0"/>
      <w:marBottom w:val="0"/>
      <w:divBdr>
        <w:top w:val="none" w:sz="0" w:space="0" w:color="auto"/>
        <w:left w:val="none" w:sz="0" w:space="0" w:color="auto"/>
        <w:bottom w:val="none" w:sz="0" w:space="0" w:color="auto"/>
        <w:right w:val="none" w:sz="0" w:space="0" w:color="auto"/>
      </w:divBdr>
    </w:div>
    <w:div w:id="2096584235">
      <w:bodyDiv w:val="1"/>
      <w:marLeft w:val="0"/>
      <w:marRight w:val="0"/>
      <w:marTop w:val="0"/>
      <w:marBottom w:val="0"/>
      <w:divBdr>
        <w:top w:val="none" w:sz="0" w:space="0" w:color="auto"/>
        <w:left w:val="none" w:sz="0" w:space="0" w:color="auto"/>
        <w:bottom w:val="none" w:sz="0" w:space="0" w:color="auto"/>
        <w:right w:val="none" w:sz="0" w:space="0" w:color="auto"/>
      </w:divBdr>
    </w:div>
    <w:div w:id="21219956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4.xml"/><Relationship Id="rId18" Type="http://schemas.openxmlformats.org/officeDocument/2006/relationships/image" Target="media/image6.png"/><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png"/><Relationship Id="rId34"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29" Type="http://schemas.openxmlformats.org/officeDocument/2006/relationships/image" Target="media/image17.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image" Target="media/image12.png"/><Relationship Id="rId32" Type="http://schemas.openxmlformats.org/officeDocument/2006/relationships/image" Target="media/image20.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image" Target="media/image7.png"/><Relationship Id="rId31" Type="http://schemas.openxmlformats.org/officeDocument/2006/relationships/image" Target="media/image19.pn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fontTable" Target="fontTable.xml"/><Relationship Id="rId8"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FFF587-F539-4340-AE9D-C50B45A284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764</TotalTime>
  <Pages>55</Pages>
  <Words>12713</Words>
  <Characters>73170</Characters>
  <Application>Microsoft Office Word</Application>
  <DocSecurity>0</DocSecurity>
  <Lines>609</Lines>
  <Paragraphs>171</Paragraphs>
  <ScaleCrop>false</ScaleCrop>
  <HeadingPairs>
    <vt:vector size="2" baseType="variant">
      <vt:variant>
        <vt:lpstr>Title</vt:lpstr>
      </vt:variant>
      <vt:variant>
        <vt:i4>1</vt:i4>
      </vt:variant>
    </vt:vector>
  </HeadingPairs>
  <TitlesOfParts>
    <vt:vector size="1" baseType="lpstr">
      <vt:lpstr/>
    </vt:vector>
  </TitlesOfParts>
  <Company>Sempra Energy</Company>
  <LinksUpToDate>false</LinksUpToDate>
  <CharactersWithSpaces>85712</CharactersWithSpaces>
  <SharedDoc>false</SharedDoc>
  <HLinks>
    <vt:vector size="1026" baseType="variant">
      <vt:variant>
        <vt:i4>1966134</vt:i4>
      </vt:variant>
      <vt:variant>
        <vt:i4>1022</vt:i4>
      </vt:variant>
      <vt:variant>
        <vt:i4>0</vt:i4>
      </vt:variant>
      <vt:variant>
        <vt:i4>5</vt:i4>
      </vt:variant>
      <vt:variant>
        <vt:lpwstr/>
      </vt:variant>
      <vt:variant>
        <vt:lpwstr>_Toc380052037</vt:lpwstr>
      </vt:variant>
      <vt:variant>
        <vt:i4>1966134</vt:i4>
      </vt:variant>
      <vt:variant>
        <vt:i4>1016</vt:i4>
      </vt:variant>
      <vt:variant>
        <vt:i4>0</vt:i4>
      </vt:variant>
      <vt:variant>
        <vt:i4>5</vt:i4>
      </vt:variant>
      <vt:variant>
        <vt:lpwstr/>
      </vt:variant>
      <vt:variant>
        <vt:lpwstr>_Toc380052036</vt:lpwstr>
      </vt:variant>
      <vt:variant>
        <vt:i4>1966134</vt:i4>
      </vt:variant>
      <vt:variant>
        <vt:i4>1010</vt:i4>
      </vt:variant>
      <vt:variant>
        <vt:i4>0</vt:i4>
      </vt:variant>
      <vt:variant>
        <vt:i4>5</vt:i4>
      </vt:variant>
      <vt:variant>
        <vt:lpwstr/>
      </vt:variant>
      <vt:variant>
        <vt:lpwstr>_Toc380052035</vt:lpwstr>
      </vt:variant>
      <vt:variant>
        <vt:i4>1966134</vt:i4>
      </vt:variant>
      <vt:variant>
        <vt:i4>1004</vt:i4>
      </vt:variant>
      <vt:variant>
        <vt:i4>0</vt:i4>
      </vt:variant>
      <vt:variant>
        <vt:i4>5</vt:i4>
      </vt:variant>
      <vt:variant>
        <vt:lpwstr/>
      </vt:variant>
      <vt:variant>
        <vt:lpwstr>_Toc380052034</vt:lpwstr>
      </vt:variant>
      <vt:variant>
        <vt:i4>1966134</vt:i4>
      </vt:variant>
      <vt:variant>
        <vt:i4>998</vt:i4>
      </vt:variant>
      <vt:variant>
        <vt:i4>0</vt:i4>
      </vt:variant>
      <vt:variant>
        <vt:i4>5</vt:i4>
      </vt:variant>
      <vt:variant>
        <vt:lpwstr/>
      </vt:variant>
      <vt:variant>
        <vt:lpwstr>_Toc380052033</vt:lpwstr>
      </vt:variant>
      <vt:variant>
        <vt:i4>1966134</vt:i4>
      </vt:variant>
      <vt:variant>
        <vt:i4>992</vt:i4>
      </vt:variant>
      <vt:variant>
        <vt:i4>0</vt:i4>
      </vt:variant>
      <vt:variant>
        <vt:i4>5</vt:i4>
      </vt:variant>
      <vt:variant>
        <vt:lpwstr/>
      </vt:variant>
      <vt:variant>
        <vt:lpwstr>_Toc380052032</vt:lpwstr>
      </vt:variant>
      <vt:variant>
        <vt:i4>1966134</vt:i4>
      </vt:variant>
      <vt:variant>
        <vt:i4>986</vt:i4>
      </vt:variant>
      <vt:variant>
        <vt:i4>0</vt:i4>
      </vt:variant>
      <vt:variant>
        <vt:i4>5</vt:i4>
      </vt:variant>
      <vt:variant>
        <vt:lpwstr/>
      </vt:variant>
      <vt:variant>
        <vt:lpwstr>_Toc380052031</vt:lpwstr>
      </vt:variant>
      <vt:variant>
        <vt:i4>1966134</vt:i4>
      </vt:variant>
      <vt:variant>
        <vt:i4>980</vt:i4>
      </vt:variant>
      <vt:variant>
        <vt:i4>0</vt:i4>
      </vt:variant>
      <vt:variant>
        <vt:i4>5</vt:i4>
      </vt:variant>
      <vt:variant>
        <vt:lpwstr/>
      </vt:variant>
      <vt:variant>
        <vt:lpwstr>_Toc380052030</vt:lpwstr>
      </vt:variant>
      <vt:variant>
        <vt:i4>2031670</vt:i4>
      </vt:variant>
      <vt:variant>
        <vt:i4>974</vt:i4>
      </vt:variant>
      <vt:variant>
        <vt:i4>0</vt:i4>
      </vt:variant>
      <vt:variant>
        <vt:i4>5</vt:i4>
      </vt:variant>
      <vt:variant>
        <vt:lpwstr/>
      </vt:variant>
      <vt:variant>
        <vt:lpwstr>_Toc380052029</vt:lpwstr>
      </vt:variant>
      <vt:variant>
        <vt:i4>2031670</vt:i4>
      </vt:variant>
      <vt:variant>
        <vt:i4>968</vt:i4>
      </vt:variant>
      <vt:variant>
        <vt:i4>0</vt:i4>
      </vt:variant>
      <vt:variant>
        <vt:i4>5</vt:i4>
      </vt:variant>
      <vt:variant>
        <vt:lpwstr/>
      </vt:variant>
      <vt:variant>
        <vt:lpwstr>_Toc380052028</vt:lpwstr>
      </vt:variant>
      <vt:variant>
        <vt:i4>2031670</vt:i4>
      </vt:variant>
      <vt:variant>
        <vt:i4>962</vt:i4>
      </vt:variant>
      <vt:variant>
        <vt:i4>0</vt:i4>
      </vt:variant>
      <vt:variant>
        <vt:i4>5</vt:i4>
      </vt:variant>
      <vt:variant>
        <vt:lpwstr/>
      </vt:variant>
      <vt:variant>
        <vt:lpwstr>_Toc380052027</vt:lpwstr>
      </vt:variant>
      <vt:variant>
        <vt:i4>2031670</vt:i4>
      </vt:variant>
      <vt:variant>
        <vt:i4>956</vt:i4>
      </vt:variant>
      <vt:variant>
        <vt:i4>0</vt:i4>
      </vt:variant>
      <vt:variant>
        <vt:i4>5</vt:i4>
      </vt:variant>
      <vt:variant>
        <vt:lpwstr/>
      </vt:variant>
      <vt:variant>
        <vt:lpwstr>_Toc380052026</vt:lpwstr>
      </vt:variant>
      <vt:variant>
        <vt:i4>2031670</vt:i4>
      </vt:variant>
      <vt:variant>
        <vt:i4>950</vt:i4>
      </vt:variant>
      <vt:variant>
        <vt:i4>0</vt:i4>
      </vt:variant>
      <vt:variant>
        <vt:i4>5</vt:i4>
      </vt:variant>
      <vt:variant>
        <vt:lpwstr/>
      </vt:variant>
      <vt:variant>
        <vt:lpwstr>_Toc380052025</vt:lpwstr>
      </vt:variant>
      <vt:variant>
        <vt:i4>2031670</vt:i4>
      </vt:variant>
      <vt:variant>
        <vt:i4>944</vt:i4>
      </vt:variant>
      <vt:variant>
        <vt:i4>0</vt:i4>
      </vt:variant>
      <vt:variant>
        <vt:i4>5</vt:i4>
      </vt:variant>
      <vt:variant>
        <vt:lpwstr/>
      </vt:variant>
      <vt:variant>
        <vt:lpwstr>_Toc380052024</vt:lpwstr>
      </vt:variant>
      <vt:variant>
        <vt:i4>2031670</vt:i4>
      </vt:variant>
      <vt:variant>
        <vt:i4>938</vt:i4>
      </vt:variant>
      <vt:variant>
        <vt:i4>0</vt:i4>
      </vt:variant>
      <vt:variant>
        <vt:i4>5</vt:i4>
      </vt:variant>
      <vt:variant>
        <vt:lpwstr/>
      </vt:variant>
      <vt:variant>
        <vt:lpwstr>_Toc380052023</vt:lpwstr>
      </vt:variant>
      <vt:variant>
        <vt:i4>2031670</vt:i4>
      </vt:variant>
      <vt:variant>
        <vt:i4>932</vt:i4>
      </vt:variant>
      <vt:variant>
        <vt:i4>0</vt:i4>
      </vt:variant>
      <vt:variant>
        <vt:i4>5</vt:i4>
      </vt:variant>
      <vt:variant>
        <vt:lpwstr/>
      </vt:variant>
      <vt:variant>
        <vt:lpwstr>_Toc380052022</vt:lpwstr>
      </vt:variant>
      <vt:variant>
        <vt:i4>2031670</vt:i4>
      </vt:variant>
      <vt:variant>
        <vt:i4>926</vt:i4>
      </vt:variant>
      <vt:variant>
        <vt:i4>0</vt:i4>
      </vt:variant>
      <vt:variant>
        <vt:i4>5</vt:i4>
      </vt:variant>
      <vt:variant>
        <vt:lpwstr/>
      </vt:variant>
      <vt:variant>
        <vt:lpwstr>_Toc380052021</vt:lpwstr>
      </vt:variant>
      <vt:variant>
        <vt:i4>2031670</vt:i4>
      </vt:variant>
      <vt:variant>
        <vt:i4>920</vt:i4>
      </vt:variant>
      <vt:variant>
        <vt:i4>0</vt:i4>
      </vt:variant>
      <vt:variant>
        <vt:i4>5</vt:i4>
      </vt:variant>
      <vt:variant>
        <vt:lpwstr/>
      </vt:variant>
      <vt:variant>
        <vt:lpwstr>_Toc380052020</vt:lpwstr>
      </vt:variant>
      <vt:variant>
        <vt:i4>1835062</vt:i4>
      </vt:variant>
      <vt:variant>
        <vt:i4>914</vt:i4>
      </vt:variant>
      <vt:variant>
        <vt:i4>0</vt:i4>
      </vt:variant>
      <vt:variant>
        <vt:i4>5</vt:i4>
      </vt:variant>
      <vt:variant>
        <vt:lpwstr/>
      </vt:variant>
      <vt:variant>
        <vt:lpwstr>_Toc380052019</vt:lpwstr>
      </vt:variant>
      <vt:variant>
        <vt:i4>1835062</vt:i4>
      </vt:variant>
      <vt:variant>
        <vt:i4>908</vt:i4>
      </vt:variant>
      <vt:variant>
        <vt:i4>0</vt:i4>
      </vt:variant>
      <vt:variant>
        <vt:i4>5</vt:i4>
      </vt:variant>
      <vt:variant>
        <vt:lpwstr/>
      </vt:variant>
      <vt:variant>
        <vt:lpwstr>_Toc380052018</vt:lpwstr>
      </vt:variant>
      <vt:variant>
        <vt:i4>1835062</vt:i4>
      </vt:variant>
      <vt:variant>
        <vt:i4>902</vt:i4>
      </vt:variant>
      <vt:variant>
        <vt:i4>0</vt:i4>
      </vt:variant>
      <vt:variant>
        <vt:i4>5</vt:i4>
      </vt:variant>
      <vt:variant>
        <vt:lpwstr/>
      </vt:variant>
      <vt:variant>
        <vt:lpwstr>_Toc380052017</vt:lpwstr>
      </vt:variant>
      <vt:variant>
        <vt:i4>1835062</vt:i4>
      </vt:variant>
      <vt:variant>
        <vt:i4>896</vt:i4>
      </vt:variant>
      <vt:variant>
        <vt:i4>0</vt:i4>
      </vt:variant>
      <vt:variant>
        <vt:i4>5</vt:i4>
      </vt:variant>
      <vt:variant>
        <vt:lpwstr/>
      </vt:variant>
      <vt:variant>
        <vt:lpwstr>_Toc380052016</vt:lpwstr>
      </vt:variant>
      <vt:variant>
        <vt:i4>1835062</vt:i4>
      </vt:variant>
      <vt:variant>
        <vt:i4>890</vt:i4>
      </vt:variant>
      <vt:variant>
        <vt:i4>0</vt:i4>
      </vt:variant>
      <vt:variant>
        <vt:i4>5</vt:i4>
      </vt:variant>
      <vt:variant>
        <vt:lpwstr/>
      </vt:variant>
      <vt:variant>
        <vt:lpwstr>_Toc380052015</vt:lpwstr>
      </vt:variant>
      <vt:variant>
        <vt:i4>1835062</vt:i4>
      </vt:variant>
      <vt:variant>
        <vt:i4>884</vt:i4>
      </vt:variant>
      <vt:variant>
        <vt:i4>0</vt:i4>
      </vt:variant>
      <vt:variant>
        <vt:i4>5</vt:i4>
      </vt:variant>
      <vt:variant>
        <vt:lpwstr/>
      </vt:variant>
      <vt:variant>
        <vt:lpwstr>_Toc380052014</vt:lpwstr>
      </vt:variant>
      <vt:variant>
        <vt:i4>1835062</vt:i4>
      </vt:variant>
      <vt:variant>
        <vt:i4>878</vt:i4>
      </vt:variant>
      <vt:variant>
        <vt:i4>0</vt:i4>
      </vt:variant>
      <vt:variant>
        <vt:i4>5</vt:i4>
      </vt:variant>
      <vt:variant>
        <vt:lpwstr/>
      </vt:variant>
      <vt:variant>
        <vt:lpwstr>_Toc380052013</vt:lpwstr>
      </vt:variant>
      <vt:variant>
        <vt:i4>1835062</vt:i4>
      </vt:variant>
      <vt:variant>
        <vt:i4>872</vt:i4>
      </vt:variant>
      <vt:variant>
        <vt:i4>0</vt:i4>
      </vt:variant>
      <vt:variant>
        <vt:i4>5</vt:i4>
      </vt:variant>
      <vt:variant>
        <vt:lpwstr/>
      </vt:variant>
      <vt:variant>
        <vt:lpwstr>_Toc380052012</vt:lpwstr>
      </vt:variant>
      <vt:variant>
        <vt:i4>1835062</vt:i4>
      </vt:variant>
      <vt:variant>
        <vt:i4>866</vt:i4>
      </vt:variant>
      <vt:variant>
        <vt:i4>0</vt:i4>
      </vt:variant>
      <vt:variant>
        <vt:i4>5</vt:i4>
      </vt:variant>
      <vt:variant>
        <vt:lpwstr/>
      </vt:variant>
      <vt:variant>
        <vt:lpwstr>_Toc380052011</vt:lpwstr>
      </vt:variant>
      <vt:variant>
        <vt:i4>1835062</vt:i4>
      </vt:variant>
      <vt:variant>
        <vt:i4>860</vt:i4>
      </vt:variant>
      <vt:variant>
        <vt:i4>0</vt:i4>
      </vt:variant>
      <vt:variant>
        <vt:i4>5</vt:i4>
      </vt:variant>
      <vt:variant>
        <vt:lpwstr/>
      </vt:variant>
      <vt:variant>
        <vt:lpwstr>_Toc380052010</vt:lpwstr>
      </vt:variant>
      <vt:variant>
        <vt:i4>1900598</vt:i4>
      </vt:variant>
      <vt:variant>
        <vt:i4>854</vt:i4>
      </vt:variant>
      <vt:variant>
        <vt:i4>0</vt:i4>
      </vt:variant>
      <vt:variant>
        <vt:i4>5</vt:i4>
      </vt:variant>
      <vt:variant>
        <vt:lpwstr/>
      </vt:variant>
      <vt:variant>
        <vt:lpwstr>_Toc380052009</vt:lpwstr>
      </vt:variant>
      <vt:variant>
        <vt:i4>1900598</vt:i4>
      </vt:variant>
      <vt:variant>
        <vt:i4>848</vt:i4>
      </vt:variant>
      <vt:variant>
        <vt:i4>0</vt:i4>
      </vt:variant>
      <vt:variant>
        <vt:i4>5</vt:i4>
      </vt:variant>
      <vt:variant>
        <vt:lpwstr/>
      </vt:variant>
      <vt:variant>
        <vt:lpwstr>_Toc380052008</vt:lpwstr>
      </vt:variant>
      <vt:variant>
        <vt:i4>1900598</vt:i4>
      </vt:variant>
      <vt:variant>
        <vt:i4>842</vt:i4>
      </vt:variant>
      <vt:variant>
        <vt:i4>0</vt:i4>
      </vt:variant>
      <vt:variant>
        <vt:i4>5</vt:i4>
      </vt:variant>
      <vt:variant>
        <vt:lpwstr/>
      </vt:variant>
      <vt:variant>
        <vt:lpwstr>_Toc380052007</vt:lpwstr>
      </vt:variant>
      <vt:variant>
        <vt:i4>1900598</vt:i4>
      </vt:variant>
      <vt:variant>
        <vt:i4>836</vt:i4>
      </vt:variant>
      <vt:variant>
        <vt:i4>0</vt:i4>
      </vt:variant>
      <vt:variant>
        <vt:i4>5</vt:i4>
      </vt:variant>
      <vt:variant>
        <vt:lpwstr/>
      </vt:variant>
      <vt:variant>
        <vt:lpwstr>_Toc380052006</vt:lpwstr>
      </vt:variant>
      <vt:variant>
        <vt:i4>1900598</vt:i4>
      </vt:variant>
      <vt:variant>
        <vt:i4>830</vt:i4>
      </vt:variant>
      <vt:variant>
        <vt:i4>0</vt:i4>
      </vt:variant>
      <vt:variant>
        <vt:i4>5</vt:i4>
      </vt:variant>
      <vt:variant>
        <vt:lpwstr/>
      </vt:variant>
      <vt:variant>
        <vt:lpwstr>_Toc380052005</vt:lpwstr>
      </vt:variant>
      <vt:variant>
        <vt:i4>1900598</vt:i4>
      </vt:variant>
      <vt:variant>
        <vt:i4>824</vt:i4>
      </vt:variant>
      <vt:variant>
        <vt:i4>0</vt:i4>
      </vt:variant>
      <vt:variant>
        <vt:i4>5</vt:i4>
      </vt:variant>
      <vt:variant>
        <vt:lpwstr/>
      </vt:variant>
      <vt:variant>
        <vt:lpwstr>_Toc380052004</vt:lpwstr>
      </vt:variant>
      <vt:variant>
        <vt:i4>1900598</vt:i4>
      </vt:variant>
      <vt:variant>
        <vt:i4>818</vt:i4>
      </vt:variant>
      <vt:variant>
        <vt:i4>0</vt:i4>
      </vt:variant>
      <vt:variant>
        <vt:i4>5</vt:i4>
      </vt:variant>
      <vt:variant>
        <vt:lpwstr/>
      </vt:variant>
      <vt:variant>
        <vt:lpwstr>_Toc380052003</vt:lpwstr>
      </vt:variant>
      <vt:variant>
        <vt:i4>1572927</vt:i4>
      </vt:variant>
      <vt:variant>
        <vt:i4>809</vt:i4>
      </vt:variant>
      <vt:variant>
        <vt:i4>0</vt:i4>
      </vt:variant>
      <vt:variant>
        <vt:i4>5</vt:i4>
      </vt:variant>
      <vt:variant>
        <vt:lpwstr/>
      </vt:variant>
      <vt:variant>
        <vt:lpwstr>_Toc380051966</vt:lpwstr>
      </vt:variant>
      <vt:variant>
        <vt:i4>1572927</vt:i4>
      </vt:variant>
      <vt:variant>
        <vt:i4>803</vt:i4>
      </vt:variant>
      <vt:variant>
        <vt:i4>0</vt:i4>
      </vt:variant>
      <vt:variant>
        <vt:i4>5</vt:i4>
      </vt:variant>
      <vt:variant>
        <vt:lpwstr/>
      </vt:variant>
      <vt:variant>
        <vt:lpwstr>_Toc380051965</vt:lpwstr>
      </vt:variant>
      <vt:variant>
        <vt:i4>1572927</vt:i4>
      </vt:variant>
      <vt:variant>
        <vt:i4>797</vt:i4>
      </vt:variant>
      <vt:variant>
        <vt:i4>0</vt:i4>
      </vt:variant>
      <vt:variant>
        <vt:i4>5</vt:i4>
      </vt:variant>
      <vt:variant>
        <vt:lpwstr/>
      </vt:variant>
      <vt:variant>
        <vt:lpwstr>_Toc380051964</vt:lpwstr>
      </vt:variant>
      <vt:variant>
        <vt:i4>1572927</vt:i4>
      </vt:variant>
      <vt:variant>
        <vt:i4>791</vt:i4>
      </vt:variant>
      <vt:variant>
        <vt:i4>0</vt:i4>
      </vt:variant>
      <vt:variant>
        <vt:i4>5</vt:i4>
      </vt:variant>
      <vt:variant>
        <vt:lpwstr/>
      </vt:variant>
      <vt:variant>
        <vt:lpwstr>_Toc380051963</vt:lpwstr>
      </vt:variant>
      <vt:variant>
        <vt:i4>1572927</vt:i4>
      </vt:variant>
      <vt:variant>
        <vt:i4>785</vt:i4>
      </vt:variant>
      <vt:variant>
        <vt:i4>0</vt:i4>
      </vt:variant>
      <vt:variant>
        <vt:i4>5</vt:i4>
      </vt:variant>
      <vt:variant>
        <vt:lpwstr/>
      </vt:variant>
      <vt:variant>
        <vt:lpwstr>_Toc380051962</vt:lpwstr>
      </vt:variant>
      <vt:variant>
        <vt:i4>1572927</vt:i4>
      </vt:variant>
      <vt:variant>
        <vt:i4>779</vt:i4>
      </vt:variant>
      <vt:variant>
        <vt:i4>0</vt:i4>
      </vt:variant>
      <vt:variant>
        <vt:i4>5</vt:i4>
      </vt:variant>
      <vt:variant>
        <vt:lpwstr/>
      </vt:variant>
      <vt:variant>
        <vt:lpwstr>_Toc380051961</vt:lpwstr>
      </vt:variant>
      <vt:variant>
        <vt:i4>1572927</vt:i4>
      </vt:variant>
      <vt:variant>
        <vt:i4>773</vt:i4>
      </vt:variant>
      <vt:variant>
        <vt:i4>0</vt:i4>
      </vt:variant>
      <vt:variant>
        <vt:i4>5</vt:i4>
      </vt:variant>
      <vt:variant>
        <vt:lpwstr/>
      </vt:variant>
      <vt:variant>
        <vt:lpwstr>_Toc380051960</vt:lpwstr>
      </vt:variant>
      <vt:variant>
        <vt:i4>1769535</vt:i4>
      </vt:variant>
      <vt:variant>
        <vt:i4>767</vt:i4>
      </vt:variant>
      <vt:variant>
        <vt:i4>0</vt:i4>
      </vt:variant>
      <vt:variant>
        <vt:i4>5</vt:i4>
      </vt:variant>
      <vt:variant>
        <vt:lpwstr/>
      </vt:variant>
      <vt:variant>
        <vt:lpwstr>_Toc380051959</vt:lpwstr>
      </vt:variant>
      <vt:variant>
        <vt:i4>1769535</vt:i4>
      </vt:variant>
      <vt:variant>
        <vt:i4>761</vt:i4>
      </vt:variant>
      <vt:variant>
        <vt:i4>0</vt:i4>
      </vt:variant>
      <vt:variant>
        <vt:i4>5</vt:i4>
      </vt:variant>
      <vt:variant>
        <vt:lpwstr/>
      </vt:variant>
      <vt:variant>
        <vt:lpwstr>_Toc380051958</vt:lpwstr>
      </vt:variant>
      <vt:variant>
        <vt:i4>1769535</vt:i4>
      </vt:variant>
      <vt:variant>
        <vt:i4>755</vt:i4>
      </vt:variant>
      <vt:variant>
        <vt:i4>0</vt:i4>
      </vt:variant>
      <vt:variant>
        <vt:i4>5</vt:i4>
      </vt:variant>
      <vt:variant>
        <vt:lpwstr/>
      </vt:variant>
      <vt:variant>
        <vt:lpwstr>_Toc380051957</vt:lpwstr>
      </vt:variant>
      <vt:variant>
        <vt:i4>1769535</vt:i4>
      </vt:variant>
      <vt:variant>
        <vt:i4>749</vt:i4>
      </vt:variant>
      <vt:variant>
        <vt:i4>0</vt:i4>
      </vt:variant>
      <vt:variant>
        <vt:i4>5</vt:i4>
      </vt:variant>
      <vt:variant>
        <vt:lpwstr/>
      </vt:variant>
      <vt:variant>
        <vt:lpwstr>_Toc380051956</vt:lpwstr>
      </vt:variant>
      <vt:variant>
        <vt:i4>1769535</vt:i4>
      </vt:variant>
      <vt:variant>
        <vt:i4>743</vt:i4>
      </vt:variant>
      <vt:variant>
        <vt:i4>0</vt:i4>
      </vt:variant>
      <vt:variant>
        <vt:i4>5</vt:i4>
      </vt:variant>
      <vt:variant>
        <vt:lpwstr/>
      </vt:variant>
      <vt:variant>
        <vt:lpwstr>_Toc380051955</vt:lpwstr>
      </vt:variant>
      <vt:variant>
        <vt:i4>1769535</vt:i4>
      </vt:variant>
      <vt:variant>
        <vt:i4>737</vt:i4>
      </vt:variant>
      <vt:variant>
        <vt:i4>0</vt:i4>
      </vt:variant>
      <vt:variant>
        <vt:i4>5</vt:i4>
      </vt:variant>
      <vt:variant>
        <vt:lpwstr/>
      </vt:variant>
      <vt:variant>
        <vt:lpwstr>_Toc380051954</vt:lpwstr>
      </vt:variant>
      <vt:variant>
        <vt:i4>1769535</vt:i4>
      </vt:variant>
      <vt:variant>
        <vt:i4>731</vt:i4>
      </vt:variant>
      <vt:variant>
        <vt:i4>0</vt:i4>
      </vt:variant>
      <vt:variant>
        <vt:i4>5</vt:i4>
      </vt:variant>
      <vt:variant>
        <vt:lpwstr/>
      </vt:variant>
      <vt:variant>
        <vt:lpwstr>_Toc380051953</vt:lpwstr>
      </vt:variant>
      <vt:variant>
        <vt:i4>1769535</vt:i4>
      </vt:variant>
      <vt:variant>
        <vt:i4>725</vt:i4>
      </vt:variant>
      <vt:variant>
        <vt:i4>0</vt:i4>
      </vt:variant>
      <vt:variant>
        <vt:i4>5</vt:i4>
      </vt:variant>
      <vt:variant>
        <vt:lpwstr/>
      </vt:variant>
      <vt:variant>
        <vt:lpwstr>_Toc380051952</vt:lpwstr>
      </vt:variant>
      <vt:variant>
        <vt:i4>1769535</vt:i4>
      </vt:variant>
      <vt:variant>
        <vt:i4>719</vt:i4>
      </vt:variant>
      <vt:variant>
        <vt:i4>0</vt:i4>
      </vt:variant>
      <vt:variant>
        <vt:i4>5</vt:i4>
      </vt:variant>
      <vt:variant>
        <vt:lpwstr/>
      </vt:variant>
      <vt:variant>
        <vt:lpwstr>_Toc380051951</vt:lpwstr>
      </vt:variant>
      <vt:variant>
        <vt:i4>1769535</vt:i4>
      </vt:variant>
      <vt:variant>
        <vt:i4>713</vt:i4>
      </vt:variant>
      <vt:variant>
        <vt:i4>0</vt:i4>
      </vt:variant>
      <vt:variant>
        <vt:i4>5</vt:i4>
      </vt:variant>
      <vt:variant>
        <vt:lpwstr/>
      </vt:variant>
      <vt:variant>
        <vt:lpwstr>_Toc380051950</vt:lpwstr>
      </vt:variant>
      <vt:variant>
        <vt:i4>1703999</vt:i4>
      </vt:variant>
      <vt:variant>
        <vt:i4>707</vt:i4>
      </vt:variant>
      <vt:variant>
        <vt:i4>0</vt:i4>
      </vt:variant>
      <vt:variant>
        <vt:i4>5</vt:i4>
      </vt:variant>
      <vt:variant>
        <vt:lpwstr/>
      </vt:variant>
      <vt:variant>
        <vt:lpwstr>_Toc380051949</vt:lpwstr>
      </vt:variant>
      <vt:variant>
        <vt:i4>1703999</vt:i4>
      </vt:variant>
      <vt:variant>
        <vt:i4>701</vt:i4>
      </vt:variant>
      <vt:variant>
        <vt:i4>0</vt:i4>
      </vt:variant>
      <vt:variant>
        <vt:i4>5</vt:i4>
      </vt:variant>
      <vt:variant>
        <vt:lpwstr/>
      </vt:variant>
      <vt:variant>
        <vt:lpwstr>_Toc380051948</vt:lpwstr>
      </vt:variant>
      <vt:variant>
        <vt:i4>1703999</vt:i4>
      </vt:variant>
      <vt:variant>
        <vt:i4>695</vt:i4>
      </vt:variant>
      <vt:variant>
        <vt:i4>0</vt:i4>
      </vt:variant>
      <vt:variant>
        <vt:i4>5</vt:i4>
      </vt:variant>
      <vt:variant>
        <vt:lpwstr/>
      </vt:variant>
      <vt:variant>
        <vt:lpwstr>_Toc380051947</vt:lpwstr>
      </vt:variant>
      <vt:variant>
        <vt:i4>1703999</vt:i4>
      </vt:variant>
      <vt:variant>
        <vt:i4>689</vt:i4>
      </vt:variant>
      <vt:variant>
        <vt:i4>0</vt:i4>
      </vt:variant>
      <vt:variant>
        <vt:i4>5</vt:i4>
      </vt:variant>
      <vt:variant>
        <vt:lpwstr/>
      </vt:variant>
      <vt:variant>
        <vt:lpwstr>_Toc380051946</vt:lpwstr>
      </vt:variant>
      <vt:variant>
        <vt:i4>1703999</vt:i4>
      </vt:variant>
      <vt:variant>
        <vt:i4>683</vt:i4>
      </vt:variant>
      <vt:variant>
        <vt:i4>0</vt:i4>
      </vt:variant>
      <vt:variant>
        <vt:i4>5</vt:i4>
      </vt:variant>
      <vt:variant>
        <vt:lpwstr/>
      </vt:variant>
      <vt:variant>
        <vt:lpwstr>_Toc380051945</vt:lpwstr>
      </vt:variant>
      <vt:variant>
        <vt:i4>1703999</vt:i4>
      </vt:variant>
      <vt:variant>
        <vt:i4>677</vt:i4>
      </vt:variant>
      <vt:variant>
        <vt:i4>0</vt:i4>
      </vt:variant>
      <vt:variant>
        <vt:i4>5</vt:i4>
      </vt:variant>
      <vt:variant>
        <vt:lpwstr/>
      </vt:variant>
      <vt:variant>
        <vt:lpwstr>_Toc380051944</vt:lpwstr>
      </vt:variant>
      <vt:variant>
        <vt:i4>1703999</vt:i4>
      </vt:variant>
      <vt:variant>
        <vt:i4>671</vt:i4>
      </vt:variant>
      <vt:variant>
        <vt:i4>0</vt:i4>
      </vt:variant>
      <vt:variant>
        <vt:i4>5</vt:i4>
      </vt:variant>
      <vt:variant>
        <vt:lpwstr/>
      </vt:variant>
      <vt:variant>
        <vt:lpwstr>_Toc380051943</vt:lpwstr>
      </vt:variant>
      <vt:variant>
        <vt:i4>1703999</vt:i4>
      </vt:variant>
      <vt:variant>
        <vt:i4>665</vt:i4>
      </vt:variant>
      <vt:variant>
        <vt:i4>0</vt:i4>
      </vt:variant>
      <vt:variant>
        <vt:i4>5</vt:i4>
      </vt:variant>
      <vt:variant>
        <vt:lpwstr/>
      </vt:variant>
      <vt:variant>
        <vt:lpwstr>_Toc380051942</vt:lpwstr>
      </vt:variant>
      <vt:variant>
        <vt:i4>1703999</vt:i4>
      </vt:variant>
      <vt:variant>
        <vt:i4>659</vt:i4>
      </vt:variant>
      <vt:variant>
        <vt:i4>0</vt:i4>
      </vt:variant>
      <vt:variant>
        <vt:i4>5</vt:i4>
      </vt:variant>
      <vt:variant>
        <vt:lpwstr/>
      </vt:variant>
      <vt:variant>
        <vt:lpwstr>_Toc380051941</vt:lpwstr>
      </vt:variant>
      <vt:variant>
        <vt:i4>1703999</vt:i4>
      </vt:variant>
      <vt:variant>
        <vt:i4>653</vt:i4>
      </vt:variant>
      <vt:variant>
        <vt:i4>0</vt:i4>
      </vt:variant>
      <vt:variant>
        <vt:i4>5</vt:i4>
      </vt:variant>
      <vt:variant>
        <vt:lpwstr/>
      </vt:variant>
      <vt:variant>
        <vt:lpwstr>_Toc380051940</vt:lpwstr>
      </vt:variant>
      <vt:variant>
        <vt:i4>1900607</vt:i4>
      </vt:variant>
      <vt:variant>
        <vt:i4>647</vt:i4>
      </vt:variant>
      <vt:variant>
        <vt:i4>0</vt:i4>
      </vt:variant>
      <vt:variant>
        <vt:i4>5</vt:i4>
      </vt:variant>
      <vt:variant>
        <vt:lpwstr/>
      </vt:variant>
      <vt:variant>
        <vt:lpwstr>_Toc380051939</vt:lpwstr>
      </vt:variant>
      <vt:variant>
        <vt:i4>1900607</vt:i4>
      </vt:variant>
      <vt:variant>
        <vt:i4>641</vt:i4>
      </vt:variant>
      <vt:variant>
        <vt:i4>0</vt:i4>
      </vt:variant>
      <vt:variant>
        <vt:i4>5</vt:i4>
      </vt:variant>
      <vt:variant>
        <vt:lpwstr/>
      </vt:variant>
      <vt:variant>
        <vt:lpwstr>_Toc380051938</vt:lpwstr>
      </vt:variant>
      <vt:variant>
        <vt:i4>1900607</vt:i4>
      </vt:variant>
      <vt:variant>
        <vt:i4>635</vt:i4>
      </vt:variant>
      <vt:variant>
        <vt:i4>0</vt:i4>
      </vt:variant>
      <vt:variant>
        <vt:i4>5</vt:i4>
      </vt:variant>
      <vt:variant>
        <vt:lpwstr/>
      </vt:variant>
      <vt:variant>
        <vt:lpwstr>_Toc380051937</vt:lpwstr>
      </vt:variant>
      <vt:variant>
        <vt:i4>1900607</vt:i4>
      </vt:variant>
      <vt:variant>
        <vt:i4>629</vt:i4>
      </vt:variant>
      <vt:variant>
        <vt:i4>0</vt:i4>
      </vt:variant>
      <vt:variant>
        <vt:i4>5</vt:i4>
      </vt:variant>
      <vt:variant>
        <vt:lpwstr/>
      </vt:variant>
      <vt:variant>
        <vt:lpwstr>_Toc380051936</vt:lpwstr>
      </vt:variant>
      <vt:variant>
        <vt:i4>1900607</vt:i4>
      </vt:variant>
      <vt:variant>
        <vt:i4>623</vt:i4>
      </vt:variant>
      <vt:variant>
        <vt:i4>0</vt:i4>
      </vt:variant>
      <vt:variant>
        <vt:i4>5</vt:i4>
      </vt:variant>
      <vt:variant>
        <vt:lpwstr/>
      </vt:variant>
      <vt:variant>
        <vt:lpwstr>_Toc380051935</vt:lpwstr>
      </vt:variant>
      <vt:variant>
        <vt:i4>1900607</vt:i4>
      </vt:variant>
      <vt:variant>
        <vt:i4>617</vt:i4>
      </vt:variant>
      <vt:variant>
        <vt:i4>0</vt:i4>
      </vt:variant>
      <vt:variant>
        <vt:i4>5</vt:i4>
      </vt:variant>
      <vt:variant>
        <vt:lpwstr/>
      </vt:variant>
      <vt:variant>
        <vt:lpwstr>_Toc380051934</vt:lpwstr>
      </vt:variant>
      <vt:variant>
        <vt:i4>1900607</vt:i4>
      </vt:variant>
      <vt:variant>
        <vt:i4>611</vt:i4>
      </vt:variant>
      <vt:variant>
        <vt:i4>0</vt:i4>
      </vt:variant>
      <vt:variant>
        <vt:i4>5</vt:i4>
      </vt:variant>
      <vt:variant>
        <vt:lpwstr/>
      </vt:variant>
      <vt:variant>
        <vt:lpwstr>_Toc380051933</vt:lpwstr>
      </vt:variant>
      <vt:variant>
        <vt:i4>1900607</vt:i4>
      </vt:variant>
      <vt:variant>
        <vt:i4>605</vt:i4>
      </vt:variant>
      <vt:variant>
        <vt:i4>0</vt:i4>
      </vt:variant>
      <vt:variant>
        <vt:i4>5</vt:i4>
      </vt:variant>
      <vt:variant>
        <vt:lpwstr/>
      </vt:variant>
      <vt:variant>
        <vt:lpwstr>_Toc380051932</vt:lpwstr>
      </vt:variant>
      <vt:variant>
        <vt:i4>1900607</vt:i4>
      </vt:variant>
      <vt:variant>
        <vt:i4>599</vt:i4>
      </vt:variant>
      <vt:variant>
        <vt:i4>0</vt:i4>
      </vt:variant>
      <vt:variant>
        <vt:i4>5</vt:i4>
      </vt:variant>
      <vt:variant>
        <vt:lpwstr/>
      </vt:variant>
      <vt:variant>
        <vt:lpwstr>_Toc380051931</vt:lpwstr>
      </vt:variant>
      <vt:variant>
        <vt:i4>1900607</vt:i4>
      </vt:variant>
      <vt:variant>
        <vt:i4>593</vt:i4>
      </vt:variant>
      <vt:variant>
        <vt:i4>0</vt:i4>
      </vt:variant>
      <vt:variant>
        <vt:i4>5</vt:i4>
      </vt:variant>
      <vt:variant>
        <vt:lpwstr/>
      </vt:variant>
      <vt:variant>
        <vt:lpwstr>_Toc380051930</vt:lpwstr>
      </vt:variant>
      <vt:variant>
        <vt:i4>1835071</vt:i4>
      </vt:variant>
      <vt:variant>
        <vt:i4>587</vt:i4>
      </vt:variant>
      <vt:variant>
        <vt:i4>0</vt:i4>
      </vt:variant>
      <vt:variant>
        <vt:i4>5</vt:i4>
      </vt:variant>
      <vt:variant>
        <vt:lpwstr/>
      </vt:variant>
      <vt:variant>
        <vt:lpwstr>_Toc380051929</vt:lpwstr>
      </vt:variant>
      <vt:variant>
        <vt:i4>1835071</vt:i4>
      </vt:variant>
      <vt:variant>
        <vt:i4>581</vt:i4>
      </vt:variant>
      <vt:variant>
        <vt:i4>0</vt:i4>
      </vt:variant>
      <vt:variant>
        <vt:i4>5</vt:i4>
      </vt:variant>
      <vt:variant>
        <vt:lpwstr/>
      </vt:variant>
      <vt:variant>
        <vt:lpwstr>_Toc380051928</vt:lpwstr>
      </vt:variant>
      <vt:variant>
        <vt:i4>1835071</vt:i4>
      </vt:variant>
      <vt:variant>
        <vt:i4>575</vt:i4>
      </vt:variant>
      <vt:variant>
        <vt:i4>0</vt:i4>
      </vt:variant>
      <vt:variant>
        <vt:i4>5</vt:i4>
      </vt:variant>
      <vt:variant>
        <vt:lpwstr/>
      </vt:variant>
      <vt:variant>
        <vt:lpwstr>_Toc380051927</vt:lpwstr>
      </vt:variant>
      <vt:variant>
        <vt:i4>1835071</vt:i4>
      </vt:variant>
      <vt:variant>
        <vt:i4>569</vt:i4>
      </vt:variant>
      <vt:variant>
        <vt:i4>0</vt:i4>
      </vt:variant>
      <vt:variant>
        <vt:i4>5</vt:i4>
      </vt:variant>
      <vt:variant>
        <vt:lpwstr/>
      </vt:variant>
      <vt:variant>
        <vt:lpwstr>_Toc380051926</vt:lpwstr>
      </vt:variant>
      <vt:variant>
        <vt:i4>1835071</vt:i4>
      </vt:variant>
      <vt:variant>
        <vt:i4>563</vt:i4>
      </vt:variant>
      <vt:variant>
        <vt:i4>0</vt:i4>
      </vt:variant>
      <vt:variant>
        <vt:i4>5</vt:i4>
      </vt:variant>
      <vt:variant>
        <vt:lpwstr/>
      </vt:variant>
      <vt:variant>
        <vt:lpwstr>_Toc380051925</vt:lpwstr>
      </vt:variant>
      <vt:variant>
        <vt:i4>1835071</vt:i4>
      </vt:variant>
      <vt:variant>
        <vt:i4>557</vt:i4>
      </vt:variant>
      <vt:variant>
        <vt:i4>0</vt:i4>
      </vt:variant>
      <vt:variant>
        <vt:i4>5</vt:i4>
      </vt:variant>
      <vt:variant>
        <vt:lpwstr/>
      </vt:variant>
      <vt:variant>
        <vt:lpwstr>_Toc380051924</vt:lpwstr>
      </vt:variant>
      <vt:variant>
        <vt:i4>1835071</vt:i4>
      </vt:variant>
      <vt:variant>
        <vt:i4>551</vt:i4>
      </vt:variant>
      <vt:variant>
        <vt:i4>0</vt:i4>
      </vt:variant>
      <vt:variant>
        <vt:i4>5</vt:i4>
      </vt:variant>
      <vt:variant>
        <vt:lpwstr/>
      </vt:variant>
      <vt:variant>
        <vt:lpwstr>_Toc380051923</vt:lpwstr>
      </vt:variant>
      <vt:variant>
        <vt:i4>1835071</vt:i4>
      </vt:variant>
      <vt:variant>
        <vt:i4>545</vt:i4>
      </vt:variant>
      <vt:variant>
        <vt:i4>0</vt:i4>
      </vt:variant>
      <vt:variant>
        <vt:i4>5</vt:i4>
      </vt:variant>
      <vt:variant>
        <vt:lpwstr/>
      </vt:variant>
      <vt:variant>
        <vt:lpwstr>_Toc380051922</vt:lpwstr>
      </vt:variant>
      <vt:variant>
        <vt:i4>1835071</vt:i4>
      </vt:variant>
      <vt:variant>
        <vt:i4>539</vt:i4>
      </vt:variant>
      <vt:variant>
        <vt:i4>0</vt:i4>
      </vt:variant>
      <vt:variant>
        <vt:i4>5</vt:i4>
      </vt:variant>
      <vt:variant>
        <vt:lpwstr/>
      </vt:variant>
      <vt:variant>
        <vt:lpwstr>_Toc380051921</vt:lpwstr>
      </vt:variant>
      <vt:variant>
        <vt:i4>1835071</vt:i4>
      </vt:variant>
      <vt:variant>
        <vt:i4>533</vt:i4>
      </vt:variant>
      <vt:variant>
        <vt:i4>0</vt:i4>
      </vt:variant>
      <vt:variant>
        <vt:i4>5</vt:i4>
      </vt:variant>
      <vt:variant>
        <vt:lpwstr/>
      </vt:variant>
      <vt:variant>
        <vt:lpwstr>_Toc380051920</vt:lpwstr>
      </vt:variant>
      <vt:variant>
        <vt:i4>2031679</vt:i4>
      </vt:variant>
      <vt:variant>
        <vt:i4>527</vt:i4>
      </vt:variant>
      <vt:variant>
        <vt:i4>0</vt:i4>
      </vt:variant>
      <vt:variant>
        <vt:i4>5</vt:i4>
      </vt:variant>
      <vt:variant>
        <vt:lpwstr/>
      </vt:variant>
      <vt:variant>
        <vt:lpwstr>_Toc380051919</vt:lpwstr>
      </vt:variant>
      <vt:variant>
        <vt:i4>2031679</vt:i4>
      </vt:variant>
      <vt:variant>
        <vt:i4>521</vt:i4>
      </vt:variant>
      <vt:variant>
        <vt:i4>0</vt:i4>
      </vt:variant>
      <vt:variant>
        <vt:i4>5</vt:i4>
      </vt:variant>
      <vt:variant>
        <vt:lpwstr/>
      </vt:variant>
      <vt:variant>
        <vt:lpwstr>_Toc380051918</vt:lpwstr>
      </vt:variant>
      <vt:variant>
        <vt:i4>2031679</vt:i4>
      </vt:variant>
      <vt:variant>
        <vt:i4>515</vt:i4>
      </vt:variant>
      <vt:variant>
        <vt:i4>0</vt:i4>
      </vt:variant>
      <vt:variant>
        <vt:i4>5</vt:i4>
      </vt:variant>
      <vt:variant>
        <vt:lpwstr/>
      </vt:variant>
      <vt:variant>
        <vt:lpwstr>_Toc380051917</vt:lpwstr>
      </vt:variant>
      <vt:variant>
        <vt:i4>2031679</vt:i4>
      </vt:variant>
      <vt:variant>
        <vt:i4>509</vt:i4>
      </vt:variant>
      <vt:variant>
        <vt:i4>0</vt:i4>
      </vt:variant>
      <vt:variant>
        <vt:i4>5</vt:i4>
      </vt:variant>
      <vt:variant>
        <vt:lpwstr/>
      </vt:variant>
      <vt:variant>
        <vt:lpwstr>_Toc380051916</vt:lpwstr>
      </vt:variant>
      <vt:variant>
        <vt:i4>2031679</vt:i4>
      </vt:variant>
      <vt:variant>
        <vt:i4>503</vt:i4>
      </vt:variant>
      <vt:variant>
        <vt:i4>0</vt:i4>
      </vt:variant>
      <vt:variant>
        <vt:i4>5</vt:i4>
      </vt:variant>
      <vt:variant>
        <vt:lpwstr/>
      </vt:variant>
      <vt:variant>
        <vt:lpwstr>_Toc380051915</vt:lpwstr>
      </vt:variant>
      <vt:variant>
        <vt:i4>2031679</vt:i4>
      </vt:variant>
      <vt:variant>
        <vt:i4>497</vt:i4>
      </vt:variant>
      <vt:variant>
        <vt:i4>0</vt:i4>
      </vt:variant>
      <vt:variant>
        <vt:i4>5</vt:i4>
      </vt:variant>
      <vt:variant>
        <vt:lpwstr/>
      </vt:variant>
      <vt:variant>
        <vt:lpwstr>_Toc380051914</vt:lpwstr>
      </vt:variant>
      <vt:variant>
        <vt:i4>2031679</vt:i4>
      </vt:variant>
      <vt:variant>
        <vt:i4>491</vt:i4>
      </vt:variant>
      <vt:variant>
        <vt:i4>0</vt:i4>
      </vt:variant>
      <vt:variant>
        <vt:i4>5</vt:i4>
      </vt:variant>
      <vt:variant>
        <vt:lpwstr/>
      </vt:variant>
      <vt:variant>
        <vt:lpwstr>_Toc380051913</vt:lpwstr>
      </vt:variant>
      <vt:variant>
        <vt:i4>2031679</vt:i4>
      </vt:variant>
      <vt:variant>
        <vt:i4>485</vt:i4>
      </vt:variant>
      <vt:variant>
        <vt:i4>0</vt:i4>
      </vt:variant>
      <vt:variant>
        <vt:i4>5</vt:i4>
      </vt:variant>
      <vt:variant>
        <vt:lpwstr/>
      </vt:variant>
      <vt:variant>
        <vt:lpwstr>_Toc380051912</vt:lpwstr>
      </vt:variant>
      <vt:variant>
        <vt:i4>1769534</vt:i4>
      </vt:variant>
      <vt:variant>
        <vt:i4>476</vt:i4>
      </vt:variant>
      <vt:variant>
        <vt:i4>0</vt:i4>
      </vt:variant>
      <vt:variant>
        <vt:i4>5</vt:i4>
      </vt:variant>
      <vt:variant>
        <vt:lpwstr/>
      </vt:variant>
      <vt:variant>
        <vt:lpwstr>_Toc380051856</vt:lpwstr>
      </vt:variant>
      <vt:variant>
        <vt:i4>1769534</vt:i4>
      </vt:variant>
      <vt:variant>
        <vt:i4>470</vt:i4>
      </vt:variant>
      <vt:variant>
        <vt:i4>0</vt:i4>
      </vt:variant>
      <vt:variant>
        <vt:i4>5</vt:i4>
      </vt:variant>
      <vt:variant>
        <vt:lpwstr/>
      </vt:variant>
      <vt:variant>
        <vt:lpwstr>_Toc380051855</vt:lpwstr>
      </vt:variant>
      <vt:variant>
        <vt:i4>1769534</vt:i4>
      </vt:variant>
      <vt:variant>
        <vt:i4>464</vt:i4>
      </vt:variant>
      <vt:variant>
        <vt:i4>0</vt:i4>
      </vt:variant>
      <vt:variant>
        <vt:i4>5</vt:i4>
      </vt:variant>
      <vt:variant>
        <vt:lpwstr/>
      </vt:variant>
      <vt:variant>
        <vt:lpwstr>_Toc380051854</vt:lpwstr>
      </vt:variant>
      <vt:variant>
        <vt:i4>1769534</vt:i4>
      </vt:variant>
      <vt:variant>
        <vt:i4>458</vt:i4>
      </vt:variant>
      <vt:variant>
        <vt:i4>0</vt:i4>
      </vt:variant>
      <vt:variant>
        <vt:i4>5</vt:i4>
      </vt:variant>
      <vt:variant>
        <vt:lpwstr/>
      </vt:variant>
      <vt:variant>
        <vt:lpwstr>_Toc380051853</vt:lpwstr>
      </vt:variant>
      <vt:variant>
        <vt:i4>1769534</vt:i4>
      </vt:variant>
      <vt:variant>
        <vt:i4>452</vt:i4>
      </vt:variant>
      <vt:variant>
        <vt:i4>0</vt:i4>
      </vt:variant>
      <vt:variant>
        <vt:i4>5</vt:i4>
      </vt:variant>
      <vt:variant>
        <vt:lpwstr/>
      </vt:variant>
      <vt:variant>
        <vt:lpwstr>_Toc380051852</vt:lpwstr>
      </vt:variant>
      <vt:variant>
        <vt:i4>1769534</vt:i4>
      </vt:variant>
      <vt:variant>
        <vt:i4>446</vt:i4>
      </vt:variant>
      <vt:variant>
        <vt:i4>0</vt:i4>
      </vt:variant>
      <vt:variant>
        <vt:i4>5</vt:i4>
      </vt:variant>
      <vt:variant>
        <vt:lpwstr/>
      </vt:variant>
      <vt:variant>
        <vt:lpwstr>_Toc380051851</vt:lpwstr>
      </vt:variant>
      <vt:variant>
        <vt:i4>1769534</vt:i4>
      </vt:variant>
      <vt:variant>
        <vt:i4>440</vt:i4>
      </vt:variant>
      <vt:variant>
        <vt:i4>0</vt:i4>
      </vt:variant>
      <vt:variant>
        <vt:i4>5</vt:i4>
      </vt:variant>
      <vt:variant>
        <vt:lpwstr/>
      </vt:variant>
      <vt:variant>
        <vt:lpwstr>_Toc380051850</vt:lpwstr>
      </vt:variant>
      <vt:variant>
        <vt:i4>1703998</vt:i4>
      </vt:variant>
      <vt:variant>
        <vt:i4>434</vt:i4>
      </vt:variant>
      <vt:variant>
        <vt:i4>0</vt:i4>
      </vt:variant>
      <vt:variant>
        <vt:i4>5</vt:i4>
      </vt:variant>
      <vt:variant>
        <vt:lpwstr/>
      </vt:variant>
      <vt:variant>
        <vt:lpwstr>_Toc380051849</vt:lpwstr>
      </vt:variant>
      <vt:variant>
        <vt:i4>1703998</vt:i4>
      </vt:variant>
      <vt:variant>
        <vt:i4>428</vt:i4>
      </vt:variant>
      <vt:variant>
        <vt:i4>0</vt:i4>
      </vt:variant>
      <vt:variant>
        <vt:i4>5</vt:i4>
      </vt:variant>
      <vt:variant>
        <vt:lpwstr/>
      </vt:variant>
      <vt:variant>
        <vt:lpwstr>_Toc380051848</vt:lpwstr>
      </vt:variant>
      <vt:variant>
        <vt:i4>1703998</vt:i4>
      </vt:variant>
      <vt:variant>
        <vt:i4>422</vt:i4>
      </vt:variant>
      <vt:variant>
        <vt:i4>0</vt:i4>
      </vt:variant>
      <vt:variant>
        <vt:i4>5</vt:i4>
      </vt:variant>
      <vt:variant>
        <vt:lpwstr/>
      </vt:variant>
      <vt:variant>
        <vt:lpwstr>_Toc380051847</vt:lpwstr>
      </vt:variant>
      <vt:variant>
        <vt:i4>1703998</vt:i4>
      </vt:variant>
      <vt:variant>
        <vt:i4>416</vt:i4>
      </vt:variant>
      <vt:variant>
        <vt:i4>0</vt:i4>
      </vt:variant>
      <vt:variant>
        <vt:i4>5</vt:i4>
      </vt:variant>
      <vt:variant>
        <vt:lpwstr/>
      </vt:variant>
      <vt:variant>
        <vt:lpwstr>_Toc380051846</vt:lpwstr>
      </vt:variant>
      <vt:variant>
        <vt:i4>1703998</vt:i4>
      </vt:variant>
      <vt:variant>
        <vt:i4>410</vt:i4>
      </vt:variant>
      <vt:variant>
        <vt:i4>0</vt:i4>
      </vt:variant>
      <vt:variant>
        <vt:i4>5</vt:i4>
      </vt:variant>
      <vt:variant>
        <vt:lpwstr/>
      </vt:variant>
      <vt:variant>
        <vt:lpwstr>_Toc380051845</vt:lpwstr>
      </vt:variant>
      <vt:variant>
        <vt:i4>1703998</vt:i4>
      </vt:variant>
      <vt:variant>
        <vt:i4>404</vt:i4>
      </vt:variant>
      <vt:variant>
        <vt:i4>0</vt:i4>
      </vt:variant>
      <vt:variant>
        <vt:i4>5</vt:i4>
      </vt:variant>
      <vt:variant>
        <vt:lpwstr/>
      </vt:variant>
      <vt:variant>
        <vt:lpwstr>_Toc380051844</vt:lpwstr>
      </vt:variant>
      <vt:variant>
        <vt:i4>1703998</vt:i4>
      </vt:variant>
      <vt:variant>
        <vt:i4>398</vt:i4>
      </vt:variant>
      <vt:variant>
        <vt:i4>0</vt:i4>
      </vt:variant>
      <vt:variant>
        <vt:i4>5</vt:i4>
      </vt:variant>
      <vt:variant>
        <vt:lpwstr/>
      </vt:variant>
      <vt:variant>
        <vt:lpwstr>_Toc380051843</vt:lpwstr>
      </vt:variant>
      <vt:variant>
        <vt:i4>1703998</vt:i4>
      </vt:variant>
      <vt:variant>
        <vt:i4>392</vt:i4>
      </vt:variant>
      <vt:variant>
        <vt:i4>0</vt:i4>
      </vt:variant>
      <vt:variant>
        <vt:i4>5</vt:i4>
      </vt:variant>
      <vt:variant>
        <vt:lpwstr/>
      </vt:variant>
      <vt:variant>
        <vt:lpwstr>_Toc380051842</vt:lpwstr>
      </vt:variant>
      <vt:variant>
        <vt:i4>1703998</vt:i4>
      </vt:variant>
      <vt:variant>
        <vt:i4>386</vt:i4>
      </vt:variant>
      <vt:variant>
        <vt:i4>0</vt:i4>
      </vt:variant>
      <vt:variant>
        <vt:i4>5</vt:i4>
      </vt:variant>
      <vt:variant>
        <vt:lpwstr/>
      </vt:variant>
      <vt:variant>
        <vt:lpwstr>_Toc380051841</vt:lpwstr>
      </vt:variant>
      <vt:variant>
        <vt:i4>1703998</vt:i4>
      </vt:variant>
      <vt:variant>
        <vt:i4>380</vt:i4>
      </vt:variant>
      <vt:variant>
        <vt:i4>0</vt:i4>
      </vt:variant>
      <vt:variant>
        <vt:i4>5</vt:i4>
      </vt:variant>
      <vt:variant>
        <vt:lpwstr/>
      </vt:variant>
      <vt:variant>
        <vt:lpwstr>_Toc380051840</vt:lpwstr>
      </vt:variant>
      <vt:variant>
        <vt:i4>1900606</vt:i4>
      </vt:variant>
      <vt:variant>
        <vt:i4>374</vt:i4>
      </vt:variant>
      <vt:variant>
        <vt:i4>0</vt:i4>
      </vt:variant>
      <vt:variant>
        <vt:i4>5</vt:i4>
      </vt:variant>
      <vt:variant>
        <vt:lpwstr/>
      </vt:variant>
      <vt:variant>
        <vt:lpwstr>_Toc380051839</vt:lpwstr>
      </vt:variant>
      <vt:variant>
        <vt:i4>1900606</vt:i4>
      </vt:variant>
      <vt:variant>
        <vt:i4>368</vt:i4>
      </vt:variant>
      <vt:variant>
        <vt:i4>0</vt:i4>
      </vt:variant>
      <vt:variant>
        <vt:i4>5</vt:i4>
      </vt:variant>
      <vt:variant>
        <vt:lpwstr/>
      </vt:variant>
      <vt:variant>
        <vt:lpwstr>_Toc380051838</vt:lpwstr>
      </vt:variant>
      <vt:variant>
        <vt:i4>1900606</vt:i4>
      </vt:variant>
      <vt:variant>
        <vt:i4>362</vt:i4>
      </vt:variant>
      <vt:variant>
        <vt:i4>0</vt:i4>
      </vt:variant>
      <vt:variant>
        <vt:i4>5</vt:i4>
      </vt:variant>
      <vt:variant>
        <vt:lpwstr/>
      </vt:variant>
      <vt:variant>
        <vt:lpwstr>_Toc380051837</vt:lpwstr>
      </vt:variant>
      <vt:variant>
        <vt:i4>1900606</vt:i4>
      </vt:variant>
      <vt:variant>
        <vt:i4>356</vt:i4>
      </vt:variant>
      <vt:variant>
        <vt:i4>0</vt:i4>
      </vt:variant>
      <vt:variant>
        <vt:i4>5</vt:i4>
      </vt:variant>
      <vt:variant>
        <vt:lpwstr/>
      </vt:variant>
      <vt:variant>
        <vt:lpwstr>_Toc380051836</vt:lpwstr>
      </vt:variant>
      <vt:variant>
        <vt:i4>1900606</vt:i4>
      </vt:variant>
      <vt:variant>
        <vt:i4>350</vt:i4>
      </vt:variant>
      <vt:variant>
        <vt:i4>0</vt:i4>
      </vt:variant>
      <vt:variant>
        <vt:i4>5</vt:i4>
      </vt:variant>
      <vt:variant>
        <vt:lpwstr/>
      </vt:variant>
      <vt:variant>
        <vt:lpwstr>_Toc380051835</vt:lpwstr>
      </vt:variant>
      <vt:variant>
        <vt:i4>1900606</vt:i4>
      </vt:variant>
      <vt:variant>
        <vt:i4>344</vt:i4>
      </vt:variant>
      <vt:variant>
        <vt:i4>0</vt:i4>
      </vt:variant>
      <vt:variant>
        <vt:i4>5</vt:i4>
      </vt:variant>
      <vt:variant>
        <vt:lpwstr/>
      </vt:variant>
      <vt:variant>
        <vt:lpwstr>_Toc380051834</vt:lpwstr>
      </vt:variant>
      <vt:variant>
        <vt:i4>1900606</vt:i4>
      </vt:variant>
      <vt:variant>
        <vt:i4>338</vt:i4>
      </vt:variant>
      <vt:variant>
        <vt:i4>0</vt:i4>
      </vt:variant>
      <vt:variant>
        <vt:i4>5</vt:i4>
      </vt:variant>
      <vt:variant>
        <vt:lpwstr/>
      </vt:variant>
      <vt:variant>
        <vt:lpwstr>_Toc380051833</vt:lpwstr>
      </vt:variant>
      <vt:variant>
        <vt:i4>1900606</vt:i4>
      </vt:variant>
      <vt:variant>
        <vt:i4>332</vt:i4>
      </vt:variant>
      <vt:variant>
        <vt:i4>0</vt:i4>
      </vt:variant>
      <vt:variant>
        <vt:i4>5</vt:i4>
      </vt:variant>
      <vt:variant>
        <vt:lpwstr/>
      </vt:variant>
      <vt:variant>
        <vt:lpwstr>_Toc380051832</vt:lpwstr>
      </vt:variant>
      <vt:variant>
        <vt:i4>1900606</vt:i4>
      </vt:variant>
      <vt:variant>
        <vt:i4>326</vt:i4>
      </vt:variant>
      <vt:variant>
        <vt:i4>0</vt:i4>
      </vt:variant>
      <vt:variant>
        <vt:i4>5</vt:i4>
      </vt:variant>
      <vt:variant>
        <vt:lpwstr/>
      </vt:variant>
      <vt:variant>
        <vt:lpwstr>_Toc380051831</vt:lpwstr>
      </vt:variant>
      <vt:variant>
        <vt:i4>1900606</vt:i4>
      </vt:variant>
      <vt:variant>
        <vt:i4>320</vt:i4>
      </vt:variant>
      <vt:variant>
        <vt:i4>0</vt:i4>
      </vt:variant>
      <vt:variant>
        <vt:i4>5</vt:i4>
      </vt:variant>
      <vt:variant>
        <vt:lpwstr/>
      </vt:variant>
      <vt:variant>
        <vt:lpwstr>_Toc380051830</vt:lpwstr>
      </vt:variant>
      <vt:variant>
        <vt:i4>1835070</vt:i4>
      </vt:variant>
      <vt:variant>
        <vt:i4>314</vt:i4>
      </vt:variant>
      <vt:variant>
        <vt:i4>0</vt:i4>
      </vt:variant>
      <vt:variant>
        <vt:i4>5</vt:i4>
      </vt:variant>
      <vt:variant>
        <vt:lpwstr/>
      </vt:variant>
      <vt:variant>
        <vt:lpwstr>_Toc380051829</vt:lpwstr>
      </vt:variant>
      <vt:variant>
        <vt:i4>1835070</vt:i4>
      </vt:variant>
      <vt:variant>
        <vt:i4>308</vt:i4>
      </vt:variant>
      <vt:variant>
        <vt:i4>0</vt:i4>
      </vt:variant>
      <vt:variant>
        <vt:i4>5</vt:i4>
      </vt:variant>
      <vt:variant>
        <vt:lpwstr/>
      </vt:variant>
      <vt:variant>
        <vt:lpwstr>_Toc380051828</vt:lpwstr>
      </vt:variant>
      <vt:variant>
        <vt:i4>1835070</vt:i4>
      </vt:variant>
      <vt:variant>
        <vt:i4>302</vt:i4>
      </vt:variant>
      <vt:variant>
        <vt:i4>0</vt:i4>
      </vt:variant>
      <vt:variant>
        <vt:i4>5</vt:i4>
      </vt:variant>
      <vt:variant>
        <vt:lpwstr/>
      </vt:variant>
      <vt:variant>
        <vt:lpwstr>_Toc380051827</vt:lpwstr>
      </vt:variant>
      <vt:variant>
        <vt:i4>1835070</vt:i4>
      </vt:variant>
      <vt:variant>
        <vt:i4>296</vt:i4>
      </vt:variant>
      <vt:variant>
        <vt:i4>0</vt:i4>
      </vt:variant>
      <vt:variant>
        <vt:i4>5</vt:i4>
      </vt:variant>
      <vt:variant>
        <vt:lpwstr/>
      </vt:variant>
      <vt:variant>
        <vt:lpwstr>_Toc380051826</vt:lpwstr>
      </vt:variant>
      <vt:variant>
        <vt:i4>1835070</vt:i4>
      </vt:variant>
      <vt:variant>
        <vt:i4>290</vt:i4>
      </vt:variant>
      <vt:variant>
        <vt:i4>0</vt:i4>
      </vt:variant>
      <vt:variant>
        <vt:i4>5</vt:i4>
      </vt:variant>
      <vt:variant>
        <vt:lpwstr/>
      </vt:variant>
      <vt:variant>
        <vt:lpwstr>_Toc380051825</vt:lpwstr>
      </vt:variant>
      <vt:variant>
        <vt:i4>1835070</vt:i4>
      </vt:variant>
      <vt:variant>
        <vt:i4>284</vt:i4>
      </vt:variant>
      <vt:variant>
        <vt:i4>0</vt:i4>
      </vt:variant>
      <vt:variant>
        <vt:i4>5</vt:i4>
      </vt:variant>
      <vt:variant>
        <vt:lpwstr/>
      </vt:variant>
      <vt:variant>
        <vt:lpwstr>_Toc380051824</vt:lpwstr>
      </vt:variant>
      <vt:variant>
        <vt:i4>1835070</vt:i4>
      </vt:variant>
      <vt:variant>
        <vt:i4>278</vt:i4>
      </vt:variant>
      <vt:variant>
        <vt:i4>0</vt:i4>
      </vt:variant>
      <vt:variant>
        <vt:i4>5</vt:i4>
      </vt:variant>
      <vt:variant>
        <vt:lpwstr/>
      </vt:variant>
      <vt:variant>
        <vt:lpwstr>_Toc380051823</vt:lpwstr>
      </vt:variant>
      <vt:variant>
        <vt:i4>1835070</vt:i4>
      </vt:variant>
      <vt:variant>
        <vt:i4>272</vt:i4>
      </vt:variant>
      <vt:variant>
        <vt:i4>0</vt:i4>
      </vt:variant>
      <vt:variant>
        <vt:i4>5</vt:i4>
      </vt:variant>
      <vt:variant>
        <vt:lpwstr/>
      </vt:variant>
      <vt:variant>
        <vt:lpwstr>_Toc380051822</vt:lpwstr>
      </vt:variant>
      <vt:variant>
        <vt:i4>1835070</vt:i4>
      </vt:variant>
      <vt:variant>
        <vt:i4>266</vt:i4>
      </vt:variant>
      <vt:variant>
        <vt:i4>0</vt:i4>
      </vt:variant>
      <vt:variant>
        <vt:i4>5</vt:i4>
      </vt:variant>
      <vt:variant>
        <vt:lpwstr/>
      </vt:variant>
      <vt:variant>
        <vt:lpwstr>_Toc380051821</vt:lpwstr>
      </vt:variant>
      <vt:variant>
        <vt:i4>1835070</vt:i4>
      </vt:variant>
      <vt:variant>
        <vt:i4>260</vt:i4>
      </vt:variant>
      <vt:variant>
        <vt:i4>0</vt:i4>
      </vt:variant>
      <vt:variant>
        <vt:i4>5</vt:i4>
      </vt:variant>
      <vt:variant>
        <vt:lpwstr/>
      </vt:variant>
      <vt:variant>
        <vt:lpwstr>_Toc380051820</vt:lpwstr>
      </vt:variant>
      <vt:variant>
        <vt:i4>2031678</vt:i4>
      </vt:variant>
      <vt:variant>
        <vt:i4>254</vt:i4>
      </vt:variant>
      <vt:variant>
        <vt:i4>0</vt:i4>
      </vt:variant>
      <vt:variant>
        <vt:i4>5</vt:i4>
      </vt:variant>
      <vt:variant>
        <vt:lpwstr/>
      </vt:variant>
      <vt:variant>
        <vt:lpwstr>_Toc380051819</vt:lpwstr>
      </vt:variant>
      <vt:variant>
        <vt:i4>2031678</vt:i4>
      </vt:variant>
      <vt:variant>
        <vt:i4>248</vt:i4>
      </vt:variant>
      <vt:variant>
        <vt:i4>0</vt:i4>
      </vt:variant>
      <vt:variant>
        <vt:i4>5</vt:i4>
      </vt:variant>
      <vt:variant>
        <vt:lpwstr/>
      </vt:variant>
      <vt:variant>
        <vt:lpwstr>_Toc380051818</vt:lpwstr>
      </vt:variant>
      <vt:variant>
        <vt:i4>2031678</vt:i4>
      </vt:variant>
      <vt:variant>
        <vt:i4>242</vt:i4>
      </vt:variant>
      <vt:variant>
        <vt:i4>0</vt:i4>
      </vt:variant>
      <vt:variant>
        <vt:i4>5</vt:i4>
      </vt:variant>
      <vt:variant>
        <vt:lpwstr/>
      </vt:variant>
      <vt:variant>
        <vt:lpwstr>_Toc380051817</vt:lpwstr>
      </vt:variant>
      <vt:variant>
        <vt:i4>2031678</vt:i4>
      </vt:variant>
      <vt:variant>
        <vt:i4>236</vt:i4>
      </vt:variant>
      <vt:variant>
        <vt:i4>0</vt:i4>
      </vt:variant>
      <vt:variant>
        <vt:i4>5</vt:i4>
      </vt:variant>
      <vt:variant>
        <vt:lpwstr/>
      </vt:variant>
      <vt:variant>
        <vt:lpwstr>_Toc380051816</vt:lpwstr>
      </vt:variant>
      <vt:variant>
        <vt:i4>2031678</vt:i4>
      </vt:variant>
      <vt:variant>
        <vt:i4>230</vt:i4>
      </vt:variant>
      <vt:variant>
        <vt:i4>0</vt:i4>
      </vt:variant>
      <vt:variant>
        <vt:i4>5</vt:i4>
      </vt:variant>
      <vt:variant>
        <vt:lpwstr/>
      </vt:variant>
      <vt:variant>
        <vt:lpwstr>_Toc380051815</vt:lpwstr>
      </vt:variant>
      <vt:variant>
        <vt:i4>2031678</vt:i4>
      </vt:variant>
      <vt:variant>
        <vt:i4>224</vt:i4>
      </vt:variant>
      <vt:variant>
        <vt:i4>0</vt:i4>
      </vt:variant>
      <vt:variant>
        <vt:i4>5</vt:i4>
      </vt:variant>
      <vt:variant>
        <vt:lpwstr/>
      </vt:variant>
      <vt:variant>
        <vt:lpwstr>_Toc380051814</vt:lpwstr>
      </vt:variant>
      <vt:variant>
        <vt:i4>2031678</vt:i4>
      </vt:variant>
      <vt:variant>
        <vt:i4>218</vt:i4>
      </vt:variant>
      <vt:variant>
        <vt:i4>0</vt:i4>
      </vt:variant>
      <vt:variant>
        <vt:i4>5</vt:i4>
      </vt:variant>
      <vt:variant>
        <vt:lpwstr/>
      </vt:variant>
      <vt:variant>
        <vt:lpwstr>_Toc380051813</vt:lpwstr>
      </vt:variant>
      <vt:variant>
        <vt:i4>2031678</vt:i4>
      </vt:variant>
      <vt:variant>
        <vt:i4>212</vt:i4>
      </vt:variant>
      <vt:variant>
        <vt:i4>0</vt:i4>
      </vt:variant>
      <vt:variant>
        <vt:i4>5</vt:i4>
      </vt:variant>
      <vt:variant>
        <vt:lpwstr/>
      </vt:variant>
      <vt:variant>
        <vt:lpwstr>_Toc380051812</vt:lpwstr>
      </vt:variant>
      <vt:variant>
        <vt:i4>2031678</vt:i4>
      </vt:variant>
      <vt:variant>
        <vt:i4>206</vt:i4>
      </vt:variant>
      <vt:variant>
        <vt:i4>0</vt:i4>
      </vt:variant>
      <vt:variant>
        <vt:i4>5</vt:i4>
      </vt:variant>
      <vt:variant>
        <vt:lpwstr/>
      </vt:variant>
      <vt:variant>
        <vt:lpwstr>_Toc380051811</vt:lpwstr>
      </vt:variant>
      <vt:variant>
        <vt:i4>2031678</vt:i4>
      </vt:variant>
      <vt:variant>
        <vt:i4>200</vt:i4>
      </vt:variant>
      <vt:variant>
        <vt:i4>0</vt:i4>
      </vt:variant>
      <vt:variant>
        <vt:i4>5</vt:i4>
      </vt:variant>
      <vt:variant>
        <vt:lpwstr/>
      </vt:variant>
      <vt:variant>
        <vt:lpwstr>_Toc380051810</vt:lpwstr>
      </vt:variant>
      <vt:variant>
        <vt:i4>1966142</vt:i4>
      </vt:variant>
      <vt:variant>
        <vt:i4>194</vt:i4>
      </vt:variant>
      <vt:variant>
        <vt:i4>0</vt:i4>
      </vt:variant>
      <vt:variant>
        <vt:i4>5</vt:i4>
      </vt:variant>
      <vt:variant>
        <vt:lpwstr/>
      </vt:variant>
      <vt:variant>
        <vt:lpwstr>_Toc380051809</vt:lpwstr>
      </vt:variant>
      <vt:variant>
        <vt:i4>1966142</vt:i4>
      </vt:variant>
      <vt:variant>
        <vt:i4>188</vt:i4>
      </vt:variant>
      <vt:variant>
        <vt:i4>0</vt:i4>
      </vt:variant>
      <vt:variant>
        <vt:i4>5</vt:i4>
      </vt:variant>
      <vt:variant>
        <vt:lpwstr/>
      </vt:variant>
      <vt:variant>
        <vt:lpwstr>_Toc380051808</vt:lpwstr>
      </vt:variant>
      <vt:variant>
        <vt:i4>1966142</vt:i4>
      </vt:variant>
      <vt:variant>
        <vt:i4>182</vt:i4>
      </vt:variant>
      <vt:variant>
        <vt:i4>0</vt:i4>
      </vt:variant>
      <vt:variant>
        <vt:i4>5</vt:i4>
      </vt:variant>
      <vt:variant>
        <vt:lpwstr/>
      </vt:variant>
      <vt:variant>
        <vt:lpwstr>_Toc380051807</vt:lpwstr>
      </vt:variant>
      <vt:variant>
        <vt:i4>1966142</vt:i4>
      </vt:variant>
      <vt:variant>
        <vt:i4>176</vt:i4>
      </vt:variant>
      <vt:variant>
        <vt:i4>0</vt:i4>
      </vt:variant>
      <vt:variant>
        <vt:i4>5</vt:i4>
      </vt:variant>
      <vt:variant>
        <vt:lpwstr/>
      </vt:variant>
      <vt:variant>
        <vt:lpwstr>_Toc380051806</vt:lpwstr>
      </vt:variant>
      <vt:variant>
        <vt:i4>1966142</vt:i4>
      </vt:variant>
      <vt:variant>
        <vt:i4>170</vt:i4>
      </vt:variant>
      <vt:variant>
        <vt:i4>0</vt:i4>
      </vt:variant>
      <vt:variant>
        <vt:i4>5</vt:i4>
      </vt:variant>
      <vt:variant>
        <vt:lpwstr/>
      </vt:variant>
      <vt:variant>
        <vt:lpwstr>_Toc380051805</vt:lpwstr>
      </vt:variant>
      <vt:variant>
        <vt:i4>1966142</vt:i4>
      </vt:variant>
      <vt:variant>
        <vt:i4>164</vt:i4>
      </vt:variant>
      <vt:variant>
        <vt:i4>0</vt:i4>
      </vt:variant>
      <vt:variant>
        <vt:i4>5</vt:i4>
      </vt:variant>
      <vt:variant>
        <vt:lpwstr/>
      </vt:variant>
      <vt:variant>
        <vt:lpwstr>_Toc380051804</vt:lpwstr>
      </vt:variant>
      <vt:variant>
        <vt:i4>1966142</vt:i4>
      </vt:variant>
      <vt:variant>
        <vt:i4>158</vt:i4>
      </vt:variant>
      <vt:variant>
        <vt:i4>0</vt:i4>
      </vt:variant>
      <vt:variant>
        <vt:i4>5</vt:i4>
      </vt:variant>
      <vt:variant>
        <vt:lpwstr/>
      </vt:variant>
      <vt:variant>
        <vt:lpwstr>_Toc380051803</vt:lpwstr>
      </vt:variant>
      <vt:variant>
        <vt:i4>1966142</vt:i4>
      </vt:variant>
      <vt:variant>
        <vt:i4>152</vt:i4>
      </vt:variant>
      <vt:variant>
        <vt:i4>0</vt:i4>
      </vt:variant>
      <vt:variant>
        <vt:i4>5</vt:i4>
      </vt:variant>
      <vt:variant>
        <vt:lpwstr/>
      </vt:variant>
      <vt:variant>
        <vt:lpwstr>_Toc380051802</vt:lpwstr>
      </vt:variant>
      <vt:variant>
        <vt:i4>1966142</vt:i4>
      </vt:variant>
      <vt:variant>
        <vt:i4>146</vt:i4>
      </vt:variant>
      <vt:variant>
        <vt:i4>0</vt:i4>
      </vt:variant>
      <vt:variant>
        <vt:i4>5</vt:i4>
      </vt:variant>
      <vt:variant>
        <vt:lpwstr/>
      </vt:variant>
      <vt:variant>
        <vt:lpwstr>_Toc380051801</vt:lpwstr>
      </vt:variant>
      <vt:variant>
        <vt:i4>1966142</vt:i4>
      </vt:variant>
      <vt:variant>
        <vt:i4>140</vt:i4>
      </vt:variant>
      <vt:variant>
        <vt:i4>0</vt:i4>
      </vt:variant>
      <vt:variant>
        <vt:i4>5</vt:i4>
      </vt:variant>
      <vt:variant>
        <vt:lpwstr/>
      </vt:variant>
      <vt:variant>
        <vt:lpwstr>_Toc380051800</vt:lpwstr>
      </vt:variant>
      <vt:variant>
        <vt:i4>1507377</vt:i4>
      </vt:variant>
      <vt:variant>
        <vt:i4>134</vt:i4>
      </vt:variant>
      <vt:variant>
        <vt:i4>0</vt:i4>
      </vt:variant>
      <vt:variant>
        <vt:i4>5</vt:i4>
      </vt:variant>
      <vt:variant>
        <vt:lpwstr/>
      </vt:variant>
      <vt:variant>
        <vt:lpwstr>_Toc380051799</vt:lpwstr>
      </vt:variant>
      <vt:variant>
        <vt:i4>1507377</vt:i4>
      </vt:variant>
      <vt:variant>
        <vt:i4>128</vt:i4>
      </vt:variant>
      <vt:variant>
        <vt:i4>0</vt:i4>
      </vt:variant>
      <vt:variant>
        <vt:i4>5</vt:i4>
      </vt:variant>
      <vt:variant>
        <vt:lpwstr/>
      </vt:variant>
      <vt:variant>
        <vt:lpwstr>_Toc380051798</vt:lpwstr>
      </vt:variant>
      <vt:variant>
        <vt:i4>1507377</vt:i4>
      </vt:variant>
      <vt:variant>
        <vt:i4>122</vt:i4>
      </vt:variant>
      <vt:variant>
        <vt:i4>0</vt:i4>
      </vt:variant>
      <vt:variant>
        <vt:i4>5</vt:i4>
      </vt:variant>
      <vt:variant>
        <vt:lpwstr/>
      </vt:variant>
      <vt:variant>
        <vt:lpwstr>_Toc380051797</vt:lpwstr>
      </vt:variant>
      <vt:variant>
        <vt:i4>1507377</vt:i4>
      </vt:variant>
      <vt:variant>
        <vt:i4>116</vt:i4>
      </vt:variant>
      <vt:variant>
        <vt:i4>0</vt:i4>
      </vt:variant>
      <vt:variant>
        <vt:i4>5</vt:i4>
      </vt:variant>
      <vt:variant>
        <vt:lpwstr/>
      </vt:variant>
      <vt:variant>
        <vt:lpwstr>_Toc380051796</vt:lpwstr>
      </vt:variant>
      <vt:variant>
        <vt:i4>1507377</vt:i4>
      </vt:variant>
      <vt:variant>
        <vt:i4>110</vt:i4>
      </vt:variant>
      <vt:variant>
        <vt:i4>0</vt:i4>
      </vt:variant>
      <vt:variant>
        <vt:i4>5</vt:i4>
      </vt:variant>
      <vt:variant>
        <vt:lpwstr/>
      </vt:variant>
      <vt:variant>
        <vt:lpwstr>_Toc380051795</vt:lpwstr>
      </vt:variant>
      <vt:variant>
        <vt:i4>1507377</vt:i4>
      </vt:variant>
      <vt:variant>
        <vt:i4>104</vt:i4>
      </vt:variant>
      <vt:variant>
        <vt:i4>0</vt:i4>
      </vt:variant>
      <vt:variant>
        <vt:i4>5</vt:i4>
      </vt:variant>
      <vt:variant>
        <vt:lpwstr/>
      </vt:variant>
      <vt:variant>
        <vt:lpwstr>_Toc380051794</vt:lpwstr>
      </vt:variant>
      <vt:variant>
        <vt:i4>1507377</vt:i4>
      </vt:variant>
      <vt:variant>
        <vt:i4>98</vt:i4>
      </vt:variant>
      <vt:variant>
        <vt:i4>0</vt:i4>
      </vt:variant>
      <vt:variant>
        <vt:i4>5</vt:i4>
      </vt:variant>
      <vt:variant>
        <vt:lpwstr/>
      </vt:variant>
      <vt:variant>
        <vt:lpwstr>_Toc380051793</vt:lpwstr>
      </vt:variant>
      <vt:variant>
        <vt:i4>1507377</vt:i4>
      </vt:variant>
      <vt:variant>
        <vt:i4>92</vt:i4>
      </vt:variant>
      <vt:variant>
        <vt:i4>0</vt:i4>
      </vt:variant>
      <vt:variant>
        <vt:i4>5</vt:i4>
      </vt:variant>
      <vt:variant>
        <vt:lpwstr/>
      </vt:variant>
      <vt:variant>
        <vt:lpwstr>_Toc380051792</vt:lpwstr>
      </vt:variant>
      <vt:variant>
        <vt:i4>1507377</vt:i4>
      </vt:variant>
      <vt:variant>
        <vt:i4>86</vt:i4>
      </vt:variant>
      <vt:variant>
        <vt:i4>0</vt:i4>
      </vt:variant>
      <vt:variant>
        <vt:i4>5</vt:i4>
      </vt:variant>
      <vt:variant>
        <vt:lpwstr/>
      </vt:variant>
      <vt:variant>
        <vt:lpwstr>_Toc380051791</vt:lpwstr>
      </vt:variant>
      <vt:variant>
        <vt:i4>1507377</vt:i4>
      </vt:variant>
      <vt:variant>
        <vt:i4>80</vt:i4>
      </vt:variant>
      <vt:variant>
        <vt:i4>0</vt:i4>
      </vt:variant>
      <vt:variant>
        <vt:i4>5</vt:i4>
      </vt:variant>
      <vt:variant>
        <vt:lpwstr/>
      </vt:variant>
      <vt:variant>
        <vt:lpwstr>_Toc380051790</vt:lpwstr>
      </vt:variant>
      <vt:variant>
        <vt:i4>1441841</vt:i4>
      </vt:variant>
      <vt:variant>
        <vt:i4>74</vt:i4>
      </vt:variant>
      <vt:variant>
        <vt:i4>0</vt:i4>
      </vt:variant>
      <vt:variant>
        <vt:i4>5</vt:i4>
      </vt:variant>
      <vt:variant>
        <vt:lpwstr/>
      </vt:variant>
      <vt:variant>
        <vt:lpwstr>_Toc380051789</vt:lpwstr>
      </vt:variant>
      <vt:variant>
        <vt:i4>1441841</vt:i4>
      </vt:variant>
      <vt:variant>
        <vt:i4>68</vt:i4>
      </vt:variant>
      <vt:variant>
        <vt:i4>0</vt:i4>
      </vt:variant>
      <vt:variant>
        <vt:i4>5</vt:i4>
      </vt:variant>
      <vt:variant>
        <vt:lpwstr/>
      </vt:variant>
      <vt:variant>
        <vt:lpwstr>_Toc380051788</vt:lpwstr>
      </vt:variant>
      <vt:variant>
        <vt:i4>1441841</vt:i4>
      </vt:variant>
      <vt:variant>
        <vt:i4>62</vt:i4>
      </vt:variant>
      <vt:variant>
        <vt:i4>0</vt:i4>
      </vt:variant>
      <vt:variant>
        <vt:i4>5</vt:i4>
      </vt:variant>
      <vt:variant>
        <vt:lpwstr/>
      </vt:variant>
      <vt:variant>
        <vt:lpwstr>_Toc380051787</vt:lpwstr>
      </vt:variant>
      <vt:variant>
        <vt:i4>1441841</vt:i4>
      </vt:variant>
      <vt:variant>
        <vt:i4>56</vt:i4>
      </vt:variant>
      <vt:variant>
        <vt:i4>0</vt:i4>
      </vt:variant>
      <vt:variant>
        <vt:i4>5</vt:i4>
      </vt:variant>
      <vt:variant>
        <vt:lpwstr/>
      </vt:variant>
      <vt:variant>
        <vt:lpwstr>_Toc380051786</vt:lpwstr>
      </vt:variant>
      <vt:variant>
        <vt:i4>1441841</vt:i4>
      </vt:variant>
      <vt:variant>
        <vt:i4>50</vt:i4>
      </vt:variant>
      <vt:variant>
        <vt:i4>0</vt:i4>
      </vt:variant>
      <vt:variant>
        <vt:i4>5</vt:i4>
      </vt:variant>
      <vt:variant>
        <vt:lpwstr/>
      </vt:variant>
      <vt:variant>
        <vt:lpwstr>_Toc380051785</vt:lpwstr>
      </vt:variant>
      <vt:variant>
        <vt:i4>1441841</vt:i4>
      </vt:variant>
      <vt:variant>
        <vt:i4>44</vt:i4>
      </vt:variant>
      <vt:variant>
        <vt:i4>0</vt:i4>
      </vt:variant>
      <vt:variant>
        <vt:i4>5</vt:i4>
      </vt:variant>
      <vt:variant>
        <vt:lpwstr/>
      </vt:variant>
      <vt:variant>
        <vt:lpwstr>_Toc380051784</vt:lpwstr>
      </vt:variant>
      <vt:variant>
        <vt:i4>1441841</vt:i4>
      </vt:variant>
      <vt:variant>
        <vt:i4>38</vt:i4>
      </vt:variant>
      <vt:variant>
        <vt:i4>0</vt:i4>
      </vt:variant>
      <vt:variant>
        <vt:i4>5</vt:i4>
      </vt:variant>
      <vt:variant>
        <vt:lpwstr/>
      </vt:variant>
      <vt:variant>
        <vt:lpwstr>_Toc380051783</vt:lpwstr>
      </vt:variant>
      <vt:variant>
        <vt:i4>1441841</vt:i4>
      </vt:variant>
      <vt:variant>
        <vt:i4>32</vt:i4>
      </vt:variant>
      <vt:variant>
        <vt:i4>0</vt:i4>
      </vt:variant>
      <vt:variant>
        <vt:i4>5</vt:i4>
      </vt:variant>
      <vt:variant>
        <vt:lpwstr/>
      </vt:variant>
      <vt:variant>
        <vt:lpwstr>_Toc380051782</vt:lpwstr>
      </vt:variant>
      <vt:variant>
        <vt:i4>1441841</vt:i4>
      </vt:variant>
      <vt:variant>
        <vt:i4>26</vt:i4>
      </vt:variant>
      <vt:variant>
        <vt:i4>0</vt:i4>
      </vt:variant>
      <vt:variant>
        <vt:i4>5</vt:i4>
      </vt:variant>
      <vt:variant>
        <vt:lpwstr/>
      </vt:variant>
      <vt:variant>
        <vt:lpwstr>_Toc380051781</vt:lpwstr>
      </vt:variant>
      <vt:variant>
        <vt:i4>1441841</vt:i4>
      </vt:variant>
      <vt:variant>
        <vt:i4>20</vt:i4>
      </vt:variant>
      <vt:variant>
        <vt:i4>0</vt:i4>
      </vt:variant>
      <vt:variant>
        <vt:i4>5</vt:i4>
      </vt:variant>
      <vt:variant>
        <vt:lpwstr/>
      </vt:variant>
      <vt:variant>
        <vt:lpwstr>_Toc380051780</vt:lpwstr>
      </vt:variant>
      <vt:variant>
        <vt:i4>1638449</vt:i4>
      </vt:variant>
      <vt:variant>
        <vt:i4>14</vt:i4>
      </vt:variant>
      <vt:variant>
        <vt:i4>0</vt:i4>
      </vt:variant>
      <vt:variant>
        <vt:i4>5</vt:i4>
      </vt:variant>
      <vt:variant>
        <vt:lpwstr/>
      </vt:variant>
      <vt:variant>
        <vt:lpwstr>_Toc380051779</vt:lpwstr>
      </vt:variant>
      <vt:variant>
        <vt:i4>1638449</vt:i4>
      </vt:variant>
      <vt:variant>
        <vt:i4>8</vt:i4>
      </vt:variant>
      <vt:variant>
        <vt:i4>0</vt:i4>
      </vt:variant>
      <vt:variant>
        <vt:i4>5</vt:i4>
      </vt:variant>
      <vt:variant>
        <vt:lpwstr/>
      </vt:variant>
      <vt:variant>
        <vt:lpwstr>_Toc380051778</vt:lpwstr>
      </vt:variant>
      <vt:variant>
        <vt:i4>1638449</vt:i4>
      </vt:variant>
      <vt:variant>
        <vt:i4>2</vt:i4>
      </vt:variant>
      <vt:variant>
        <vt:i4>0</vt:i4>
      </vt:variant>
      <vt:variant>
        <vt:i4>5</vt:i4>
      </vt:variant>
      <vt:variant>
        <vt:lpwstr/>
      </vt:variant>
      <vt:variant>
        <vt:lpwstr>_Toc380051777</vt:lpwstr>
      </vt:variant>
      <vt:variant>
        <vt:i4>4325417</vt:i4>
      </vt:variant>
      <vt:variant>
        <vt:i4>0</vt:i4>
      </vt:variant>
      <vt:variant>
        <vt:i4>0</vt:i4>
      </vt:variant>
      <vt:variant>
        <vt:i4>5</vt:i4>
      </vt:variant>
      <vt:variant>
        <vt:lpwstr>http://en.wikipedia.org/wiki/Heat_index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Braithwait</dc:creator>
  <cp:lastModifiedBy>Mike T. Clark</cp:lastModifiedBy>
  <cp:revision>44</cp:revision>
  <cp:lastPrinted>2017-02-22T18:47:00Z</cp:lastPrinted>
  <dcterms:created xsi:type="dcterms:W3CDTF">2018-02-28T21:07:00Z</dcterms:created>
  <dcterms:modified xsi:type="dcterms:W3CDTF">2018-03-26T21:05:00Z</dcterms:modified>
</cp:coreProperties>
</file>